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45"/>
        <w:gridCol w:w="1237"/>
        <w:gridCol w:w="10"/>
        <w:gridCol w:w="1728"/>
        <w:gridCol w:w="2111"/>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建设项目名称</w:t>
            </w:r>
          </w:p>
        </w:tc>
        <w:tc>
          <w:tcPr>
            <w:tcW w:w="6488" w:type="dxa"/>
            <w:gridSpan w:val="4"/>
            <w:noWrap w:val="0"/>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color w:val="auto"/>
                <w:szCs w:val="24"/>
                <w:highlight w:val="none"/>
                <w:lang w:val="en-US" w:eastAsia="zh-CN"/>
              </w:rPr>
              <w:t>年加工500吨模具、金属零部件</w:t>
            </w:r>
            <w:r>
              <w:rPr>
                <w:rFonts w:hint="default" w:ascii="Times New Roman" w:hAnsi="Times New Roman" w:eastAsia="仿宋" w:cs="Times New Roman"/>
                <w:color w:val="auto"/>
                <w:szCs w:val="24"/>
                <w:highlight w:val="none"/>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项目代码</w:t>
            </w:r>
          </w:p>
        </w:tc>
        <w:tc>
          <w:tcPr>
            <w:tcW w:w="6488" w:type="dxa"/>
            <w:gridSpan w:val="4"/>
            <w:noWrap w:val="0"/>
            <w:vAlign w:val="center"/>
          </w:tcPr>
          <w:p>
            <w:pPr>
              <w:adjustRightInd w:val="0"/>
              <w:snapToGrid w:val="0"/>
              <w:jc w:val="center"/>
              <w:rPr>
                <w:rFonts w:hint="default" w:ascii="Times New Roman" w:hAnsi="Times New Roman" w:eastAsia="仿宋" w:cs="Times New Roman"/>
                <w:szCs w:val="21"/>
                <w:lang w:val="en-US"/>
              </w:rPr>
            </w:pPr>
            <w:r>
              <w:rPr>
                <w:rFonts w:hint="default" w:ascii="Times New Roman" w:hAnsi="Times New Roman" w:eastAsia="仿宋" w:cs="Times New Roman"/>
                <w:szCs w:val="21"/>
                <w:lang w:val="en-US" w:eastAsia="zh-CN"/>
              </w:rPr>
              <w:t>2020-320402-41-03-540786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建设单位联系人</w:t>
            </w:r>
          </w:p>
        </w:tc>
        <w:tc>
          <w:tcPr>
            <w:tcW w:w="1738" w:type="dxa"/>
            <w:gridSpan w:val="2"/>
            <w:noWrap w:val="0"/>
            <w:vAlign w:val="center"/>
          </w:tcPr>
          <w:p>
            <w:pPr>
              <w:adjustRightInd w:val="0"/>
              <w:snapToGrid w:val="0"/>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陆亚玉</w:t>
            </w:r>
          </w:p>
        </w:tc>
        <w:tc>
          <w:tcPr>
            <w:tcW w:w="2111" w:type="dxa"/>
            <w:noWrap w:val="0"/>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联系方式</w:t>
            </w:r>
          </w:p>
        </w:tc>
        <w:tc>
          <w:tcPr>
            <w:tcW w:w="2639" w:type="dxa"/>
            <w:noWrap w:val="0"/>
            <w:vAlign w:val="center"/>
          </w:tcPr>
          <w:p>
            <w:pPr>
              <w:adjustRightInd w:val="0"/>
              <w:snapToGrid w:val="0"/>
              <w:jc w:val="center"/>
              <w:rPr>
                <w:rFonts w:hint="default" w:ascii="Times New Roman" w:hAnsi="Times New Roman" w:eastAsia="仿宋" w:cs="Times New Roman"/>
                <w:szCs w:val="21"/>
                <w:lang w:val="en-US"/>
              </w:rPr>
            </w:pPr>
            <w:r>
              <w:rPr>
                <w:rFonts w:hint="eastAsia" w:eastAsia="仿宋" w:cs="Times New Roman"/>
                <w:color w:val="auto"/>
                <w:szCs w:val="24"/>
                <w:highlight w:val="none"/>
                <w:lang w:val="en-US" w:eastAsia="zh-CN"/>
              </w:rPr>
              <w:t>13506112187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建设地点</w:t>
            </w:r>
          </w:p>
        </w:tc>
        <w:tc>
          <w:tcPr>
            <w:tcW w:w="6488" w:type="dxa"/>
            <w:gridSpan w:val="4"/>
            <w:noWrap w:val="0"/>
            <w:vAlign w:val="center"/>
          </w:tcPr>
          <w:p>
            <w:pPr>
              <w:adjustRightInd w:val="0"/>
              <w:snapToGrid w:val="0"/>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常州市天宁区郑陆镇三皇庙</w:t>
            </w:r>
            <w:r>
              <w:rPr>
                <w:rFonts w:hint="eastAsia" w:eastAsia="仿宋" w:cs="Times New Roman"/>
                <w:szCs w:val="21"/>
                <w:lang w:val="en-US" w:eastAsia="zh-CN"/>
              </w:rPr>
              <w:t>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地理坐标</w:t>
            </w:r>
          </w:p>
        </w:tc>
        <w:tc>
          <w:tcPr>
            <w:tcW w:w="6488" w:type="dxa"/>
            <w:gridSpan w:val="4"/>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w:t>
            </w:r>
            <w:r>
              <w:rPr>
                <w:rFonts w:hint="default" w:ascii="Times New Roman" w:hAnsi="Times New Roman" w:eastAsia="仿宋" w:cs="Times New Roman"/>
                <w:szCs w:val="21"/>
                <w:u w:val="single"/>
                <w:lang w:val="en-US" w:eastAsia="zh-CN"/>
              </w:rPr>
              <w:t>120</w:t>
            </w:r>
            <w:r>
              <w:rPr>
                <w:rFonts w:hint="default" w:ascii="Times New Roman" w:hAnsi="Times New Roman" w:eastAsia="仿宋" w:cs="Times New Roman"/>
                <w:szCs w:val="21"/>
              </w:rPr>
              <w:t>度</w:t>
            </w:r>
            <w:r>
              <w:rPr>
                <w:rFonts w:hint="default" w:ascii="Times New Roman" w:hAnsi="Times New Roman" w:eastAsia="仿宋" w:cs="Times New Roman"/>
                <w:szCs w:val="21"/>
                <w:u w:val="single"/>
              </w:rPr>
              <w:t xml:space="preserve"> </w:t>
            </w:r>
            <w:r>
              <w:rPr>
                <w:rFonts w:hint="default" w:ascii="Times New Roman" w:hAnsi="Times New Roman" w:eastAsia="仿宋" w:cs="Times New Roman"/>
                <w:szCs w:val="21"/>
                <w:u w:val="single"/>
                <w:lang w:val="en-US" w:eastAsia="zh-CN"/>
              </w:rPr>
              <w:t xml:space="preserve">2 </w:t>
            </w:r>
            <w:r>
              <w:rPr>
                <w:rFonts w:hint="default" w:ascii="Times New Roman" w:hAnsi="Times New Roman" w:eastAsia="仿宋" w:cs="Times New Roman"/>
                <w:szCs w:val="21"/>
              </w:rPr>
              <w:t>分</w:t>
            </w:r>
            <w:r>
              <w:rPr>
                <w:rFonts w:hint="default" w:ascii="Times New Roman" w:hAnsi="Times New Roman" w:eastAsia="仿宋" w:cs="Times New Roman"/>
                <w:szCs w:val="21"/>
                <w:u w:val="single"/>
              </w:rPr>
              <w:t xml:space="preserve"> </w:t>
            </w:r>
            <w:r>
              <w:rPr>
                <w:rFonts w:hint="default" w:ascii="Times New Roman" w:hAnsi="Times New Roman" w:eastAsia="仿宋" w:cs="Times New Roman"/>
                <w:szCs w:val="21"/>
                <w:u w:val="single"/>
                <w:lang w:val="en-US" w:eastAsia="zh-CN"/>
              </w:rPr>
              <w:t xml:space="preserve">39 </w:t>
            </w:r>
            <w:r>
              <w:rPr>
                <w:rFonts w:hint="default" w:ascii="Times New Roman" w:hAnsi="Times New Roman" w:eastAsia="仿宋" w:cs="Times New Roman"/>
                <w:szCs w:val="21"/>
              </w:rPr>
              <w:t>秒，</w:t>
            </w:r>
            <w:r>
              <w:rPr>
                <w:rFonts w:hint="default" w:ascii="Times New Roman" w:hAnsi="Times New Roman" w:eastAsia="仿宋" w:cs="Times New Roman"/>
                <w:szCs w:val="21"/>
                <w:u w:val="single"/>
              </w:rPr>
              <w:t xml:space="preserve"> </w:t>
            </w:r>
            <w:r>
              <w:rPr>
                <w:rFonts w:hint="default" w:ascii="Times New Roman" w:hAnsi="Times New Roman" w:eastAsia="仿宋" w:cs="Times New Roman"/>
                <w:szCs w:val="21"/>
                <w:u w:val="single"/>
                <w:lang w:val="en-US" w:eastAsia="zh-CN"/>
              </w:rPr>
              <w:t>31</w:t>
            </w:r>
            <w:r>
              <w:rPr>
                <w:rFonts w:hint="default" w:ascii="Times New Roman" w:hAnsi="Times New Roman" w:eastAsia="仿宋" w:cs="Times New Roman"/>
                <w:szCs w:val="21"/>
                <w:u w:val="single"/>
              </w:rPr>
              <w:t xml:space="preserve"> </w:t>
            </w:r>
            <w:r>
              <w:rPr>
                <w:rFonts w:hint="default" w:ascii="Times New Roman" w:hAnsi="Times New Roman" w:eastAsia="仿宋" w:cs="Times New Roman"/>
                <w:szCs w:val="21"/>
              </w:rPr>
              <w:t>度</w:t>
            </w:r>
            <w:r>
              <w:rPr>
                <w:rFonts w:hint="default" w:ascii="Times New Roman" w:hAnsi="Times New Roman" w:eastAsia="仿宋" w:cs="Times New Roman"/>
                <w:szCs w:val="21"/>
                <w:u w:val="single"/>
              </w:rPr>
              <w:t xml:space="preserve"> </w:t>
            </w:r>
            <w:r>
              <w:rPr>
                <w:rFonts w:hint="default" w:ascii="Times New Roman" w:hAnsi="Times New Roman" w:eastAsia="仿宋" w:cs="Times New Roman"/>
                <w:szCs w:val="21"/>
                <w:u w:val="single"/>
                <w:lang w:val="en-US" w:eastAsia="zh-CN"/>
              </w:rPr>
              <w:t>51</w:t>
            </w:r>
            <w:r>
              <w:rPr>
                <w:rFonts w:hint="default" w:ascii="Times New Roman" w:hAnsi="Times New Roman" w:eastAsia="仿宋" w:cs="Times New Roman"/>
                <w:szCs w:val="21"/>
                <w:u w:val="single"/>
              </w:rPr>
              <w:t xml:space="preserve"> </w:t>
            </w:r>
            <w:r>
              <w:rPr>
                <w:rFonts w:hint="default" w:ascii="Times New Roman" w:hAnsi="Times New Roman" w:eastAsia="仿宋" w:cs="Times New Roman"/>
                <w:szCs w:val="21"/>
              </w:rPr>
              <w:t>分</w:t>
            </w:r>
            <w:r>
              <w:rPr>
                <w:rFonts w:hint="default" w:ascii="Times New Roman" w:hAnsi="Times New Roman" w:eastAsia="仿宋" w:cs="Times New Roman"/>
                <w:szCs w:val="21"/>
                <w:u w:val="single"/>
              </w:rPr>
              <w:t xml:space="preserve"> </w:t>
            </w:r>
            <w:r>
              <w:rPr>
                <w:rFonts w:hint="default" w:ascii="Times New Roman" w:hAnsi="Times New Roman" w:eastAsia="仿宋" w:cs="Times New Roman"/>
                <w:szCs w:val="21"/>
                <w:u w:val="single"/>
                <w:lang w:val="en-US" w:eastAsia="zh-CN"/>
              </w:rPr>
              <w:t>8</w:t>
            </w:r>
            <w:r>
              <w:rPr>
                <w:rFonts w:hint="default" w:ascii="Times New Roman" w:hAnsi="Times New Roman" w:eastAsia="仿宋" w:cs="Times New Roman"/>
                <w:szCs w:val="21"/>
                <w:u w:val="single"/>
              </w:rPr>
              <w:t xml:space="preserve"> </w:t>
            </w:r>
            <w:r>
              <w:rPr>
                <w:rFonts w:hint="default" w:ascii="Times New Roman" w:hAnsi="Times New Roman" w:eastAsia="仿宋" w:cs="Times New Roman"/>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国民经济</w:t>
            </w:r>
          </w:p>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行业类别</w:t>
            </w:r>
          </w:p>
        </w:tc>
        <w:tc>
          <w:tcPr>
            <w:tcW w:w="1738" w:type="dxa"/>
            <w:gridSpan w:val="2"/>
            <w:noWrap w:val="0"/>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lang w:val="en-US" w:eastAsia="zh-CN"/>
              </w:rPr>
              <w:t>C3360金属表面处理及热处理加工</w:t>
            </w:r>
          </w:p>
        </w:tc>
        <w:tc>
          <w:tcPr>
            <w:tcW w:w="2111" w:type="dxa"/>
            <w:noWrap w:val="0"/>
            <w:vAlign w:val="center"/>
          </w:tcPr>
          <w:p>
            <w:pPr>
              <w:adjustRightInd w:val="0"/>
              <w:snapToGrid w:val="0"/>
              <w:jc w:val="center"/>
              <w:rPr>
                <w:rFonts w:hint="default" w:ascii="Times New Roman" w:hAnsi="Times New Roman" w:eastAsia="仿宋" w:cs="Times New Roman"/>
                <w:szCs w:val="21"/>
              </w:rPr>
            </w:pPr>
            <w:bookmarkStart w:id="0" w:name="_Hlk49843745"/>
            <w:r>
              <w:rPr>
                <w:rFonts w:hint="default" w:ascii="Times New Roman" w:hAnsi="Times New Roman" w:eastAsia="仿宋" w:cs="Times New Roman"/>
                <w:szCs w:val="21"/>
              </w:rPr>
              <w:t>建设项目</w:t>
            </w:r>
          </w:p>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行业类别</w:t>
            </w:r>
            <w:bookmarkEnd w:id="0"/>
          </w:p>
        </w:tc>
        <w:tc>
          <w:tcPr>
            <w:tcW w:w="2639" w:type="dxa"/>
            <w:noWrap w:val="0"/>
            <w:vAlign w:val="center"/>
          </w:tcPr>
          <w:p>
            <w:pPr>
              <w:adjustRightInd w:val="0"/>
              <w:snapToGrid w:val="0"/>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3</w:t>
            </w:r>
            <w:r>
              <w:rPr>
                <w:rFonts w:hint="eastAsia" w:eastAsia="仿宋" w:cs="Times New Roman"/>
                <w:szCs w:val="21"/>
                <w:lang w:val="en-US" w:eastAsia="zh-CN"/>
              </w:rPr>
              <w:t>0</w:t>
            </w:r>
            <w:r>
              <w:rPr>
                <w:rFonts w:hint="default" w:ascii="Times New Roman" w:hAnsi="Times New Roman" w:eastAsia="仿宋" w:cs="Times New Roman"/>
                <w:szCs w:val="21"/>
                <w:lang w:val="en-US" w:eastAsia="zh-CN"/>
              </w:rPr>
              <w:t>-67</w:t>
            </w:r>
            <w:r>
              <w:rPr>
                <w:rFonts w:hint="eastAsia" w:eastAsia="仿宋" w:cs="Times New Roman"/>
                <w:szCs w:val="21"/>
                <w:lang w:val="en-US" w:eastAsia="zh-CN"/>
              </w:rPr>
              <w:t>金属表面处理及热处理加工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建设性质</w:t>
            </w:r>
          </w:p>
        </w:tc>
        <w:tc>
          <w:tcPr>
            <w:tcW w:w="1738" w:type="dxa"/>
            <w:gridSpan w:val="2"/>
            <w:noWrap w:val="0"/>
            <w:vAlign w:val="center"/>
          </w:tcPr>
          <w:p>
            <w:pPr>
              <w:jc w:val="left"/>
              <w:rPr>
                <w:rFonts w:hint="default" w:ascii="Times New Roman" w:hAnsi="Times New Roman" w:eastAsia="仿宋" w:cs="Times New Roman"/>
                <w:szCs w:val="21"/>
              </w:rPr>
            </w:pPr>
            <w:r>
              <w:rPr>
                <w:rFonts w:hint="default" w:ascii="Times New Roman" w:hAnsi="Times New Roman" w:eastAsia="仿宋" w:cs="Times New Roman"/>
                <w:szCs w:val="21"/>
              </w:rPr>
              <w:sym w:font="Wingdings 2" w:char="0052"/>
            </w:r>
            <w:r>
              <w:rPr>
                <w:rFonts w:hint="default" w:ascii="Times New Roman" w:hAnsi="Times New Roman" w:eastAsia="仿宋" w:cs="Times New Roman"/>
                <w:szCs w:val="21"/>
              </w:rPr>
              <w:t>新建（迁建）</w:t>
            </w:r>
          </w:p>
          <w:p>
            <w:pPr>
              <w:jc w:val="left"/>
              <w:rPr>
                <w:rFonts w:hint="default" w:ascii="Times New Roman" w:hAnsi="Times New Roman" w:eastAsia="仿宋" w:cs="Times New Roman"/>
                <w:szCs w:val="21"/>
              </w:rPr>
            </w:pPr>
            <w:r>
              <w:rPr>
                <w:rFonts w:hint="default" w:ascii="Times New Roman" w:hAnsi="Times New Roman" w:eastAsia="仿宋" w:cs="Times New Roman"/>
                <w:szCs w:val="21"/>
              </w:rPr>
              <w:sym w:font="Wingdings 2" w:char="00A3"/>
            </w:r>
            <w:r>
              <w:rPr>
                <w:rFonts w:hint="default" w:ascii="Times New Roman" w:hAnsi="Times New Roman" w:eastAsia="仿宋" w:cs="Times New Roman"/>
                <w:szCs w:val="21"/>
              </w:rPr>
              <w:t>改建</w:t>
            </w:r>
          </w:p>
          <w:p>
            <w:pPr>
              <w:jc w:val="left"/>
              <w:rPr>
                <w:rFonts w:hint="default" w:ascii="Times New Roman" w:hAnsi="Times New Roman" w:eastAsia="仿宋" w:cs="Times New Roman"/>
                <w:szCs w:val="21"/>
              </w:rPr>
            </w:pPr>
            <w:r>
              <w:rPr>
                <w:rFonts w:hint="default" w:ascii="Times New Roman" w:hAnsi="Times New Roman" w:eastAsia="仿宋" w:cs="Times New Roman"/>
                <w:szCs w:val="21"/>
              </w:rPr>
              <w:sym w:font="Wingdings 2" w:char="00A3"/>
            </w:r>
            <w:r>
              <w:rPr>
                <w:rFonts w:hint="default" w:ascii="Times New Roman" w:hAnsi="Times New Roman" w:eastAsia="仿宋" w:cs="Times New Roman"/>
                <w:szCs w:val="21"/>
              </w:rPr>
              <w:t>扩建</w:t>
            </w:r>
          </w:p>
          <w:p>
            <w:pPr>
              <w:jc w:val="left"/>
              <w:rPr>
                <w:rFonts w:hint="default" w:ascii="Times New Roman" w:hAnsi="Times New Roman" w:eastAsia="仿宋" w:cs="Times New Roman"/>
                <w:szCs w:val="21"/>
              </w:rPr>
            </w:pPr>
            <w:r>
              <w:rPr>
                <w:rFonts w:hint="default" w:ascii="Times New Roman" w:hAnsi="Times New Roman" w:eastAsia="仿宋" w:cs="Times New Roman"/>
                <w:szCs w:val="21"/>
              </w:rPr>
              <w:sym w:font="Wingdings 2" w:char="00A3"/>
            </w:r>
            <w:r>
              <w:rPr>
                <w:rFonts w:hint="default" w:ascii="Times New Roman" w:hAnsi="Times New Roman" w:eastAsia="仿宋" w:cs="Times New Roman"/>
                <w:szCs w:val="21"/>
              </w:rPr>
              <w:t>技术改造</w:t>
            </w:r>
          </w:p>
        </w:tc>
        <w:tc>
          <w:tcPr>
            <w:tcW w:w="2111" w:type="dxa"/>
            <w:noWrap w:val="0"/>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建设项目</w:t>
            </w:r>
          </w:p>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申报情形</w:t>
            </w:r>
          </w:p>
        </w:tc>
        <w:tc>
          <w:tcPr>
            <w:tcW w:w="2639" w:type="dxa"/>
            <w:noWrap w:val="0"/>
            <w:vAlign w:val="center"/>
          </w:tcPr>
          <w:p>
            <w:pPr>
              <w:jc w:val="left"/>
              <w:rPr>
                <w:rFonts w:hint="default" w:ascii="Times New Roman" w:hAnsi="Times New Roman" w:eastAsia="仿宋" w:cs="Times New Roman"/>
                <w:szCs w:val="21"/>
              </w:rPr>
            </w:pPr>
            <w:r>
              <w:rPr>
                <w:rFonts w:hint="default" w:ascii="Times New Roman" w:hAnsi="Times New Roman" w:eastAsia="仿宋" w:cs="Times New Roman"/>
                <w:szCs w:val="21"/>
              </w:rPr>
              <w:sym w:font="Wingdings 2" w:char="0052"/>
            </w:r>
            <w:r>
              <w:rPr>
                <w:rFonts w:hint="default" w:ascii="Times New Roman" w:hAnsi="Times New Roman" w:eastAsia="仿宋" w:cs="Times New Roman"/>
                <w:szCs w:val="21"/>
              </w:rPr>
              <w:t>首次申报项目</w:t>
            </w:r>
          </w:p>
          <w:p>
            <w:pPr>
              <w:jc w:val="left"/>
              <w:rPr>
                <w:rFonts w:hint="default" w:ascii="Times New Roman" w:hAnsi="Times New Roman" w:eastAsia="仿宋" w:cs="Times New Roman"/>
                <w:szCs w:val="21"/>
              </w:rPr>
            </w:pPr>
            <w:r>
              <w:rPr>
                <w:rFonts w:hint="default" w:ascii="Times New Roman" w:hAnsi="Times New Roman" w:eastAsia="仿宋" w:cs="Times New Roman"/>
                <w:szCs w:val="21"/>
              </w:rPr>
              <w:sym w:font="Wingdings 2" w:char="00A3"/>
            </w:r>
            <w:r>
              <w:rPr>
                <w:rFonts w:hint="default" w:ascii="Times New Roman" w:hAnsi="Times New Roman" w:eastAsia="仿宋" w:cs="Times New Roman"/>
                <w:szCs w:val="21"/>
              </w:rPr>
              <w:t>不予批准后再次申报项目</w:t>
            </w:r>
          </w:p>
          <w:p>
            <w:pPr>
              <w:jc w:val="left"/>
              <w:rPr>
                <w:rFonts w:hint="default" w:ascii="Times New Roman" w:hAnsi="Times New Roman" w:eastAsia="仿宋" w:cs="Times New Roman"/>
                <w:szCs w:val="21"/>
              </w:rPr>
            </w:pPr>
            <w:r>
              <w:rPr>
                <w:rFonts w:hint="default" w:ascii="Times New Roman" w:hAnsi="Times New Roman" w:eastAsia="仿宋" w:cs="Times New Roman"/>
                <w:szCs w:val="21"/>
              </w:rPr>
              <w:sym w:font="Wingdings 2" w:char="00A3"/>
            </w:r>
            <w:r>
              <w:rPr>
                <w:rFonts w:hint="default" w:ascii="Times New Roman" w:hAnsi="Times New Roman" w:eastAsia="仿宋" w:cs="Times New Roman"/>
                <w:szCs w:val="21"/>
              </w:rPr>
              <w:t>超五年重新审核项目</w:t>
            </w:r>
          </w:p>
          <w:p>
            <w:pPr>
              <w:jc w:val="left"/>
              <w:rPr>
                <w:rFonts w:hint="default" w:ascii="Times New Roman" w:hAnsi="Times New Roman" w:eastAsia="仿宋" w:cs="Times New Roman"/>
                <w:szCs w:val="21"/>
              </w:rPr>
            </w:pPr>
            <w:r>
              <w:rPr>
                <w:rFonts w:hint="default" w:ascii="Times New Roman" w:hAnsi="Times New Roman" w:eastAsia="仿宋" w:cs="Times New Roman"/>
                <w:szCs w:val="21"/>
              </w:rPr>
              <w:sym w:font="Wingdings 2" w:char="00A3"/>
            </w:r>
            <w:r>
              <w:rPr>
                <w:rFonts w:hint="default" w:ascii="Times New Roman" w:hAnsi="Times New Roman" w:eastAsia="仿宋" w:cs="Times New Roman"/>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项目审批（核准/</w:t>
            </w:r>
          </w:p>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备案）部门（选填）</w:t>
            </w:r>
          </w:p>
        </w:tc>
        <w:tc>
          <w:tcPr>
            <w:tcW w:w="1738" w:type="dxa"/>
            <w:gridSpan w:val="2"/>
            <w:noWrap w:val="0"/>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常州市天宁区行政审批局</w:t>
            </w:r>
          </w:p>
        </w:tc>
        <w:tc>
          <w:tcPr>
            <w:tcW w:w="2111" w:type="dxa"/>
            <w:noWrap w:val="0"/>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项目审批（核准/</w:t>
            </w:r>
          </w:p>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备案）文号（选填）</w:t>
            </w:r>
          </w:p>
        </w:tc>
        <w:tc>
          <w:tcPr>
            <w:tcW w:w="2639" w:type="dxa"/>
            <w:noWrap w:val="0"/>
            <w:vAlign w:val="center"/>
          </w:tcPr>
          <w:p>
            <w:pPr>
              <w:tabs>
                <w:tab w:val="center" w:pos="1372"/>
                <w:tab w:val="right" w:pos="2624"/>
              </w:tabs>
              <w:adjustRightInd w:val="0"/>
              <w:snapToGrid w:val="0"/>
              <w:jc w:val="left"/>
              <w:rPr>
                <w:rFonts w:hint="default" w:ascii="Times New Roman" w:hAnsi="Times New Roman" w:eastAsia="仿宋" w:cs="Times New Roman"/>
                <w:szCs w:val="21"/>
                <w:lang w:eastAsia="zh-CN"/>
              </w:rPr>
            </w:pPr>
            <w:r>
              <w:rPr>
                <w:rFonts w:hint="default" w:ascii="Times New Roman" w:hAnsi="Times New Roman" w:eastAsia="仿宋" w:cs="Times New Roman"/>
                <w:szCs w:val="21"/>
                <w:lang w:eastAsia="zh-CN"/>
              </w:rPr>
              <w:tab/>
            </w:r>
            <w:r>
              <w:rPr>
                <w:rFonts w:hint="default" w:ascii="Times New Roman" w:hAnsi="Times New Roman" w:eastAsia="仿宋" w:cs="Times New Roman"/>
                <w:szCs w:val="21"/>
              </w:rPr>
              <w:t>常天行审备</w:t>
            </w:r>
            <w:r>
              <w:rPr>
                <w:rFonts w:hint="default" w:ascii="Times New Roman" w:hAnsi="Times New Roman" w:eastAsia="仿宋" w:cs="Times New Roman"/>
                <w:szCs w:val="21"/>
                <w:lang w:eastAsia="zh-CN"/>
              </w:rPr>
              <w:tab/>
            </w:r>
          </w:p>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[2020]</w:t>
            </w:r>
            <w:r>
              <w:rPr>
                <w:rFonts w:hint="default" w:ascii="Times New Roman" w:hAnsi="Times New Roman" w:eastAsia="仿宋" w:cs="Times New Roman"/>
                <w:szCs w:val="21"/>
                <w:lang w:val="en-US" w:eastAsia="zh-CN"/>
              </w:rPr>
              <w:t>269</w:t>
            </w:r>
            <w:r>
              <w:rPr>
                <w:rFonts w:hint="default" w:ascii="Times New Roman" w:hAnsi="Times New Roman" w:eastAsia="仿宋" w:cs="Times New Roman"/>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总投资（万元）</w:t>
            </w:r>
          </w:p>
        </w:tc>
        <w:tc>
          <w:tcPr>
            <w:tcW w:w="1738" w:type="dxa"/>
            <w:gridSpan w:val="2"/>
            <w:noWrap w:val="0"/>
            <w:vAlign w:val="center"/>
          </w:tcPr>
          <w:p>
            <w:pPr>
              <w:adjustRightInd w:val="0"/>
              <w:snapToGrid w:val="0"/>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300</w:t>
            </w:r>
          </w:p>
        </w:tc>
        <w:tc>
          <w:tcPr>
            <w:tcW w:w="2111" w:type="dxa"/>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环保投资（万元）</w:t>
            </w:r>
          </w:p>
        </w:tc>
        <w:tc>
          <w:tcPr>
            <w:tcW w:w="2639" w:type="dxa"/>
            <w:noWrap w:val="0"/>
            <w:vAlign w:val="center"/>
          </w:tcPr>
          <w:p>
            <w:pPr>
              <w:adjustRightInd w:val="0"/>
              <w:snapToGrid w:val="0"/>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环保投资占比（%）</w:t>
            </w:r>
          </w:p>
        </w:tc>
        <w:tc>
          <w:tcPr>
            <w:tcW w:w="1738" w:type="dxa"/>
            <w:gridSpan w:val="2"/>
            <w:noWrap w:val="0"/>
            <w:vAlign w:val="center"/>
          </w:tcPr>
          <w:p>
            <w:pPr>
              <w:adjustRightInd w:val="0"/>
              <w:snapToGrid w:val="0"/>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6.7</w:t>
            </w:r>
          </w:p>
        </w:tc>
        <w:tc>
          <w:tcPr>
            <w:tcW w:w="2111" w:type="dxa"/>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施工工期</w:t>
            </w:r>
          </w:p>
        </w:tc>
        <w:tc>
          <w:tcPr>
            <w:tcW w:w="2639" w:type="dxa"/>
            <w:noWrap w:val="0"/>
            <w:vAlign w:val="center"/>
          </w:tcPr>
          <w:p>
            <w:pPr>
              <w:adjustRightInd w:val="0"/>
              <w:snapToGrid w:val="0"/>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2021年</w:t>
            </w:r>
            <w:r>
              <w:rPr>
                <w:rFonts w:hint="eastAsia" w:eastAsia="仿宋" w:cs="Times New Roman"/>
                <w:szCs w:val="21"/>
                <w:lang w:val="en-US" w:eastAsia="zh-CN"/>
              </w:rPr>
              <w:t>8</w:t>
            </w:r>
            <w:r>
              <w:rPr>
                <w:rFonts w:hint="default" w:ascii="Times New Roman" w:hAnsi="Times New Roman" w:eastAsia="仿宋" w:cs="Times New Roman"/>
                <w:szCs w:val="21"/>
                <w:lang w:val="en-US" w:eastAsia="zh-CN"/>
              </w:rPr>
              <w:t>月-</w:t>
            </w:r>
            <w:r>
              <w:rPr>
                <w:rFonts w:hint="eastAsia" w:eastAsia="仿宋" w:cs="Times New Roman"/>
                <w:szCs w:val="21"/>
                <w:lang w:val="en-US" w:eastAsia="zh-CN"/>
              </w:rPr>
              <w:t>10</w:t>
            </w:r>
            <w:r>
              <w:rPr>
                <w:rFonts w:hint="default" w:ascii="Times New Roman" w:hAnsi="Times New Roman" w:eastAsia="仿宋" w:cs="Times New Roman"/>
                <w:szCs w:val="21"/>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是否开工建设</w:t>
            </w:r>
          </w:p>
        </w:tc>
        <w:tc>
          <w:tcPr>
            <w:tcW w:w="1738" w:type="dxa"/>
            <w:gridSpan w:val="2"/>
            <w:noWrap w:val="0"/>
            <w:vAlign w:val="center"/>
          </w:tcPr>
          <w:p>
            <w:pPr>
              <w:adjustRightInd w:val="0"/>
              <w:snapToGrid w:val="0"/>
              <w:rPr>
                <w:rFonts w:hint="default" w:ascii="Times New Roman" w:hAnsi="Times New Roman" w:eastAsia="仿宋" w:cs="Times New Roman"/>
                <w:szCs w:val="21"/>
              </w:rPr>
            </w:pPr>
            <w:r>
              <w:rPr>
                <w:rFonts w:hint="default" w:ascii="Times New Roman" w:hAnsi="Times New Roman" w:eastAsia="仿宋" w:cs="Times New Roman"/>
                <w:szCs w:val="21"/>
              </w:rPr>
              <w:sym w:font="Wingdings 2" w:char="0052"/>
            </w:r>
            <w:r>
              <w:rPr>
                <w:rFonts w:hint="default" w:ascii="Times New Roman" w:hAnsi="Times New Roman" w:eastAsia="仿宋" w:cs="Times New Roman"/>
                <w:szCs w:val="21"/>
              </w:rPr>
              <w:t>否</w:t>
            </w:r>
          </w:p>
          <w:p>
            <w:pPr>
              <w:adjustRightInd w:val="0"/>
              <w:snapToGrid w:val="0"/>
              <w:rPr>
                <w:rFonts w:hint="default" w:ascii="Times New Roman" w:hAnsi="Times New Roman" w:eastAsia="仿宋" w:cs="Times New Roman"/>
                <w:szCs w:val="21"/>
                <w:lang w:eastAsia="zh-CN"/>
              </w:rPr>
            </w:pPr>
            <w:r>
              <w:rPr>
                <w:rFonts w:hint="default" w:ascii="Times New Roman" w:hAnsi="Times New Roman" w:eastAsia="仿宋" w:cs="Times New Roman"/>
                <w:szCs w:val="21"/>
              </w:rPr>
              <w:sym w:font="Wingdings 2" w:char="00A3"/>
            </w:r>
            <w:r>
              <w:rPr>
                <w:rFonts w:hint="default" w:ascii="Times New Roman" w:hAnsi="Times New Roman" w:eastAsia="仿宋" w:cs="Times New Roman"/>
                <w:szCs w:val="21"/>
              </w:rPr>
              <w:t>是</w:t>
            </w:r>
            <w:r>
              <w:rPr>
                <w:rFonts w:hint="default" w:ascii="Times New Roman" w:hAnsi="Times New Roman" w:eastAsia="仿宋" w:cs="Times New Roman"/>
                <w:szCs w:val="21"/>
                <w:lang w:eastAsia="zh-CN"/>
              </w:rPr>
              <w:t>：</w:t>
            </w:r>
          </w:p>
        </w:tc>
        <w:tc>
          <w:tcPr>
            <w:tcW w:w="2111" w:type="dxa"/>
            <w:noWrap w:val="0"/>
            <w:tcMar>
              <w:top w:w="16" w:type="dxa"/>
              <w:left w:w="16" w:type="dxa"/>
              <w:right w:w="16" w:type="dxa"/>
            </w:tcMar>
            <w:vAlign w:val="center"/>
          </w:tcPr>
          <w:p>
            <w:pPr>
              <w:adjustRightInd w:val="0"/>
              <w:snapToGrid w:val="0"/>
              <w:jc w:val="center"/>
              <w:rPr>
                <w:rFonts w:hint="default" w:ascii="Times New Roman" w:hAnsi="Times New Roman" w:eastAsia="仿宋" w:cs="Times New Roman"/>
                <w:spacing w:val="-6"/>
                <w:szCs w:val="21"/>
              </w:rPr>
            </w:pPr>
            <w:r>
              <w:rPr>
                <w:rFonts w:hint="default" w:ascii="Times New Roman" w:hAnsi="Times New Roman" w:eastAsia="仿宋" w:cs="Times New Roman"/>
                <w:spacing w:val="-6"/>
                <w:szCs w:val="21"/>
              </w:rPr>
              <w:t>用地（用海）</w:t>
            </w:r>
          </w:p>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pacing w:val="-6"/>
                <w:szCs w:val="21"/>
              </w:rPr>
              <w:t>面积（m</w:t>
            </w:r>
            <w:r>
              <w:rPr>
                <w:rFonts w:hint="default" w:ascii="Times New Roman" w:hAnsi="Times New Roman" w:eastAsia="仿宋" w:cs="Times New Roman"/>
                <w:spacing w:val="-6"/>
                <w:szCs w:val="21"/>
                <w:vertAlign w:val="superscript"/>
              </w:rPr>
              <w:t>2</w:t>
            </w:r>
            <w:r>
              <w:rPr>
                <w:rFonts w:hint="default" w:ascii="Times New Roman" w:hAnsi="Times New Roman" w:eastAsia="仿宋" w:cs="Times New Roman"/>
                <w:spacing w:val="-6"/>
                <w:szCs w:val="21"/>
              </w:rPr>
              <w:t>）</w:t>
            </w:r>
          </w:p>
        </w:tc>
        <w:tc>
          <w:tcPr>
            <w:tcW w:w="2639" w:type="dxa"/>
            <w:noWrap w:val="0"/>
            <w:vAlign w:val="center"/>
          </w:tcPr>
          <w:p>
            <w:pPr>
              <w:adjustRightInd w:val="0"/>
              <w:snapToGrid w:val="0"/>
              <w:jc w:val="center"/>
              <w:rPr>
                <w:rFonts w:hint="default" w:ascii="Times New Roman" w:hAnsi="Times New Roman" w:eastAsia="仿宋" w:cs="Times New Roman"/>
                <w:szCs w:val="21"/>
              </w:rPr>
            </w:pPr>
            <w:r>
              <w:rPr>
                <w:rFonts w:hint="eastAsia" w:eastAsia="仿宋" w:cs="Times New Roman"/>
                <w:szCs w:val="21"/>
                <w:lang w:val="en-US" w:eastAsia="zh-CN"/>
              </w:rPr>
              <w:t>800</w:t>
            </w:r>
            <w:r>
              <w:rPr>
                <w:rFonts w:hint="default" w:ascii="Times New Roman" w:hAnsi="Times New Roman" w:eastAsia="仿宋" w:cs="Times New Roman"/>
                <w:szCs w:val="21"/>
                <w:lang w:val="en-US" w:eastAsia="zh-CN"/>
              </w:rPr>
              <w:t>(租赁)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gridSpan w:val="2"/>
            <w:noWrap w:val="0"/>
            <w:vAlign w:val="center"/>
          </w:tcPr>
          <w:p>
            <w:pPr>
              <w:autoSpaceDE w:val="0"/>
              <w:autoSpaceDN w:val="0"/>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专项评价设置情况</w:t>
            </w:r>
          </w:p>
        </w:tc>
        <w:tc>
          <w:tcPr>
            <w:tcW w:w="6488" w:type="dxa"/>
            <w:gridSpan w:val="4"/>
            <w:noWrap w:val="0"/>
            <w:vAlign w:val="center"/>
          </w:tcPr>
          <w:p>
            <w:pPr>
              <w:autoSpaceDE w:val="0"/>
              <w:autoSpaceDN w:val="0"/>
              <w:adjustRightInd w:val="0"/>
              <w:snapToGrid w:val="0"/>
              <w:jc w:val="left"/>
              <w:rPr>
                <w:rFonts w:hint="default" w:ascii="Times New Roman" w:hAnsi="Times New Roman" w:eastAsia="仿宋" w:cs="Times New Roman"/>
                <w:kern w:val="0"/>
                <w:szCs w:val="21"/>
                <w:lang w:val="en-US" w:eastAsia="zh-CN"/>
              </w:rPr>
            </w:pPr>
            <w:r>
              <w:rPr>
                <w:rFonts w:hint="eastAsia" w:eastAsia="仿宋" w:cs="Times New Roman"/>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2382" w:type="dxa"/>
            <w:gridSpan w:val="2"/>
            <w:noWrap w:val="0"/>
            <w:vAlign w:val="center"/>
          </w:tcPr>
          <w:p>
            <w:pPr>
              <w:autoSpaceDE w:val="0"/>
              <w:autoSpaceDN w:val="0"/>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szCs w:val="21"/>
              </w:rPr>
              <w:t>规划情况</w:t>
            </w:r>
          </w:p>
        </w:tc>
        <w:tc>
          <w:tcPr>
            <w:tcW w:w="6488" w:type="dxa"/>
            <w:gridSpan w:val="4"/>
            <w:noWrap w:val="0"/>
            <w:vAlign w:val="center"/>
          </w:tcPr>
          <w:p>
            <w:pPr>
              <w:autoSpaceDE w:val="0"/>
              <w:autoSpaceDN w:val="0"/>
              <w:adjustRightInd w:val="0"/>
              <w:snapToGrid w:val="0"/>
              <w:rPr>
                <w:rFonts w:hint="default" w:ascii="Times New Roman" w:hAnsi="Times New Roman" w:eastAsia="仿宋" w:cs="Times New Roman"/>
                <w:kern w:val="0"/>
                <w:szCs w:val="21"/>
                <w:lang w:val="en-US"/>
              </w:rPr>
            </w:pPr>
            <w:r>
              <w:rPr>
                <w:rFonts w:hint="eastAsia" w:eastAsia="仿宋" w:cs="Times New Roman"/>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2382" w:type="dxa"/>
            <w:gridSpan w:val="2"/>
            <w:noWrap w:val="0"/>
            <w:vAlign w:val="center"/>
          </w:tcPr>
          <w:p>
            <w:pPr>
              <w:adjustRightInd w:val="0"/>
              <w:snapToGrid w:val="0"/>
              <w:jc w:val="center"/>
              <w:rPr>
                <w:rFonts w:hint="default" w:ascii="Times New Roman" w:hAnsi="Times New Roman" w:eastAsia="仿宋" w:cs="Times New Roman"/>
                <w:szCs w:val="21"/>
              </w:rPr>
            </w:pPr>
            <w:r>
              <w:rPr>
                <w:rFonts w:hint="default" w:ascii="Times New Roman" w:hAnsi="Times New Roman" w:eastAsia="仿宋" w:cs="Times New Roman"/>
                <w:szCs w:val="21"/>
              </w:rPr>
              <w:t>规划环境影响</w:t>
            </w:r>
          </w:p>
          <w:p>
            <w:pPr>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szCs w:val="21"/>
              </w:rPr>
              <w:t>评价情况</w:t>
            </w:r>
          </w:p>
        </w:tc>
        <w:tc>
          <w:tcPr>
            <w:tcW w:w="6488" w:type="dxa"/>
            <w:gridSpan w:val="4"/>
            <w:noWrap w:val="0"/>
            <w:vAlign w:val="center"/>
          </w:tcPr>
          <w:p>
            <w:pPr>
              <w:autoSpaceDE w:val="0"/>
              <w:autoSpaceDN w:val="0"/>
              <w:adjustRightInd w:val="0"/>
              <w:snapToGrid w:val="0"/>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2392" w:type="dxa"/>
            <w:gridSpan w:val="3"/>
            <w:noWrap w:val="0"/>
            <w:vAlign w:val="center"/>
          </w:tcPr>
          <w:p>
            <w:pPr>
              <w:autoSpaceDE w:val="0"/>
              <w:autoSpaceDN w:val="0"/>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规划及规划环境</w:t>
            </w:r>
          </w:p>
          <w:p>
            <w:pPr>
              <w:widowControl/>
              <w:numPr>
                <w:ilvl w:val="-1"/>
                <w:numId w:val="0"/>
              </w:numPr>
              <w:autoSpaceDE w:val="0"/>
              <w:autoSpaceDN w:val="0"/>
              <w:adjustRightInd w:val="0"/>
              <w:snapToGrid w:val="0"/>
              <w:jc w:val="center"/>
              <w:rPr>
                <w:rFonts w:hint="eastAsia" w:ascii="Times New Roman" w:hAnsi="Times New Roman" w:eastAsia="仿宋" w:cs="Times New Roman"/>
                <w:kern w:val="0"/>
                <w:szCs w:val="21"/>
                <w:lang w:val="en-US" w:eastAsia="zh-CN"/>
              </w:rPr>
            </w:pPr>
            <w:r>
              <w:rPr>
                <w:rFonts w:hint="default" w:ascii="Times New Roman" w:hAnsi="Times New Roman" w:eastAsia="仿宋" w:cs="Times New Roman"/>
                <w:kern w:val="0"/>
                <w:szCs w:val="21"/>
              </w:rPr>
              <w:t>影响评价符合性分析</w:t>
            </w:r>
          </w:p>
        </w:tc>
        <w:tc>
          <w:tcPr>
            <w:tcW w:w="6478" w:type="dxa"/>
            <w:gridSpan w:val="3"/>
            <w:noWrap w:val="0"/>
            <w:vAlign w:val="center"/>
          </w:tcPr>
          <w:p>
            <w:pPr>
              <w:widowControl w:val="0"/>
              <w:numPr>
                <w:ilvl w:val="0"/>
                <w:numId w:val="0"/>
              </w:numPr>
              <w:autoSpaceDE w:val="0"/>
              <w:autoSpaceDN w:val="0"/>
              <w:adjustRightInd w:val="0"/>
              <w:snapToGrid w:val="0"/>
              <w:jc w:val="both"/>
              <w:rPr>
                <w:rFonts w:hint="default" w:ascii="Times New Roman" w:hAnsi="Times New Roman" w:eastAsia="仿宋" w:cs="Times New Roman"/>
                <w:color w:val="000000" w:themeColor="text1"/>
                <w:sz w:val="24"/>
                <w:szCs w:val="24"/>
                <w:highlight w:val="none"/>
                <w14:textFill>
                  <w14:solidFill>
                    <w14:schemeClr w14:val="tx1"/>
                  </w14:solidFill>
                </w14:textFill>
              </w:rPr>
            </w:pPr>
            <w:r>
              <w:rPr>
                <w:rFonts w:hint="default" w:ascii="Times New Roman" w:hAnsi="Times New Roman" w:eastAsia="仿宋" w:cs="Times New Roman"/>
                <w:color w:val="000000" w:themeColor="text1"/>
                <w:sz w:val="24"/>
                <w:szCs w:val="24"/>
                <w:highlight w:val="none"/>
                <w14:textFill>
                  <w14:solidFill>
                    <w14:schemeClr w14:val="tx1"/>
                  </w14:solidFill>
                </w14:textFill>
              </w:rPr>
              <w:t>根据</w:t>
            </w:r>
            <w:r>
              <w:rPr>
                <w:rFonts w:hint="default" w:ascii="Times New Roman" w:hAnsi="Times New Roman" w:eastAsia="仿宋" w:cs="Times New Roman"/>
                <w:color w:val="000000" w:themeColor="text1"/>
                <w:sz w:val="24"/>
                <w:szCs w:val="24"/>
                <w:highlight w:val="none"/>
                <w:lang w:val="en-US" w:eastAsia="zh-CN"/>
                <w14:textFill>
                  <w14:solidFill>
                    <w14:schemeClr w14:val="tx1"/>
                  </w14:solidFill>
                </w14:textFill>
              </w:rPr>
              <w:t>天宁区</w:t>
            </w:r>
            <w:r>
              <w:rPr>
                <w:rFonts w:hint="eastAsia" w:eastAsia="仿宋" w:cs="Times New Roman"/>
                <w:color w:val="000000" w:themeColor="text1"/>
                <w:sz w:val="24"/>
                <w:szCs w:val="24"/>
                <w:highlight w:val="none"/>
                <w:lang w:val="en-US" w:eastAsia="zh-CN"/>
                <w14:textFill>
                  <w14:solidFill>
                    <w14:schemeClr w14:val="tx1"/>
                  </w14:solidFill>
                </w14:textFill>
              </w:rPr>
              <w:t>规</w:t>
            </w:r>
            <w:r>
              <w:rPr>
                <w:rFonts w:hint="default" w:ascii="Times New Roman" w:hAnsi="Times New Roman" w:eastAsia="仿宋" w:cs="Times New Roman"/>
                <w:color w:val="000000" w:themeColor="text1"/>
                <w:sz w:val="24"/>
                <w:szCs w:val="24"/>
                <w:highlight w:val="none"/>
                <w14:textFill>
                  <w14:solidFill>
                    <w14:schemeClr w14:val="tx1"/>
                  </w14:solidFill>
                </w14:textFill>
              </w:rPr>
              <w:t>划图，本项目所在地为</w:t>
            </w:r>
            <w:r>
              <w:rPr>
                <w:rFonts w:hint="eastAsia" w:eastAsia="仿宋" w:cs="Times New Roman"/>
                <w:color w:val="000000" w:themeColor="text1"/>
                <w:sz w:val="24"/>
                <w:szCs w:val="24"/>
                <w:highlight w:val="none"/>
                <w:lang w:val="en-US" w:eastAsia="zh-CN"/>
                <w14:textFill>
                  <w14:solidFill>
                    <w14:schemeClr w14:val="tx1"/>
                  </w14:solidFill>
                </w14:textFill>
              </w:rPr>
              <w:t>现状建设用地</w:t>
            </w:r>
            <w:r>
              <w:rPr>
                <w:rFonts w:hint="default" w:ascii="Times New Roman" w:hAnsi="Times New Roman" w:eastAsia="仿宋" w:cs="Times New Roman"/>
                <w:color w:val="000000" w:themeColor="text1"/>
                <w:sz w:val="24"/>
                <w:szCs w:val="24"/>
                <w:highlight w:val="none"/>
                <w14:textFill>
                  <w14:solidFill>
                    <w14:schemeClr w14:val="tx1"/>
                  </w14:solidFill>
                </w14:textFill>
              </w:rPr>
              <w:t>，因此，该项目用地性质符合</w:t>
            </w:r>
            <w:r>
              <w:rPr>
                <w:rFonts w:hint="eastAsia" w:eastAsia="仿宋" w:cs="Times New Roman"/>
                <w:color w:val="000000" w:themeColor="text1"/>
                <w:sz w:val="24"/>
                <w:szCs w:val="24"/>
                <w:highlight w:val="none"/>
                <w:lang w:val="en-US" w:eastAsia="zh-CN"/>
                <w14:textFill>
                  <w14:solidFill>
                    <w14:schemeClr w14:val="tx1"/>
                  </w14:solidFill>
                </w14:textFill>
              </w:rPr>
              <w:t>天宁区规划</w:t>
            </w:r>
            <w:r>
              <w:rPr>
                <w:rFonts w:hint="default" w:ascii="Times New Roman" w:hAnsi="Times New Roman" w:eastAsia="仿宋" w:cs="Times New Roman"/>
                <w:color w:val="000000" w:themeColor="text1"/>
                <w:sz w:val="24"/>
                <w:szCs w:val="24"/>
                <w:highlight w:val="none"/>
                <w14:textFill>
                  <w14:solidFill>
                    <w14:schemeClr w14:val="tx1"/>
                  </w14:solidFill>
                </w14:textFill>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5" w:type="dxa"/>
            <w:noWrap w:val="0"/>
            <w:vAlign w:val="center"/>
          </w:tcPr>
          <w:p>
            <w:pPr>
              <w:autoSpaceDE w:val="0"/>
              <w:autoSpaceDN w:val="0"/>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其他符合性分析</w:t>
            </w:r>
          </w:p>
        </w:tc>
        <w:tc>
          <w:tcPr>
            <w:tcW w:w="7725" w:type="dxa"/>
            <w:gridSpan w:val="5"/>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1.“三线一单”相符性分析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表1-</w:t>
            </w:r>
            <w:r>
              <w:rPr>
                <w:rFonts w:hint="eastAsia" w:eastAsia="仿宋" w:cs="Times New Roman"/>
                <w:b/>
                <w:bCs/>
                <w:kern w:val="0"/>
                <w:sz w:val="24"/>
                <w:szCs w:val="24"/>
                <w:lang w:val="en-US" w:eastAsia="zh-CN"/>
              </w:rPr>
              <w:t>1</w:t>
            </w:r>
            <w:r>
              <w:rPr>
                <w:rFonts w:hint="default" w:ascii="Times New Roman" w:hAnsi="Times New Roman" w:eastAsia="仿宋" w:cs="Times New Roman"/>
                <w:b/>
                <w:bCs/>
                <w:kern w:val="0"/>
                <w:sz w:val="24"/>
                <w:szCs w:val="24"/>
                <w:lang w:val="en-US" w:eastAsia="zh-CN"/>
              </w:rPr>
              <w:t xml:space="preserve"> “三线一单”相符性分析</w:t>
            </w:r>
          </w:p>
          <w:tbl>
            <w:tblPr>
              <w:tblStyle w:val="18"/>
              <w:tblW w:w="5000" w:type="pct"/>
              <w:tblInd w:w="-1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4"/>
              <w:gridCol w:w="4169"/>
              <w:gridCol w:w="24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50" w:type="pct"/>
                  <w:tcBorders>
                    <w:tl2br w:val="nil"/>
                    <w:tr2bl w:val="nil"/>
                  </w:tcBorders>
                  <w:vAlign w:val="center"/>
                </w:tcPr>
                <w:p>
                  <w:pPr>
                    <w:widowControl w:val="0"/>
                    <w:numPr>
                      <w:ilvl w:val="0"/>
                      <w:numId w:val="0"/>
                    </w:numPr>
                    <w:autoSpaceDE w:val="0"/>
                    <w:autoSpaceDN w:val="0"/>
                    <w:adjustRightInd w:val="0"/>
                    <w:snapToGrid w:val="0"/>
                    <w:jc w:val="center"/>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内容</w:t>
                  </w:r>
                </w:p>
              </w:tc>
              <w:tc>
                <w:tcPr>
                  <w:tcW w:w="2783" w:type="pct"/>
                  <w:tcBorders>
                    <w:tl2br w:val="nil"/>
                    <w:tr2bl w:val="nil"/>
                  </w:tcBorders>
                  <w:vAlign w:val="center"/>
                </w:tcPr>
                <w:p>
                  <w:pPr>
                    <w:widowControl w:val="0"/>
                    <w:numPr>
                      <w:ilvl w:val="0"/>
                      <w:numId w:val="0"/>
                    </w:numPr>
                    <w:autoSpaceDE w:val="0"/>
                    <w:autoSpaceDN w:val="0"/>
                    <w:adjustRightInd w:val="0"/>
                    <w:snapToGrid w:val="0"/>
                    <w:jc w:val="center"/>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相符性分析</w:t>
                  </w:r>
                </w:p>
              </w:tc>
              <w:tc>
                <w:tcPr>
                  <w:tcW w:w="1666" w:type="pct"/>
                  <w:tcBorders>
                    <w:tl2br w:val="nil"/>
                    <w:tr2bl w:val="nil"/>
                  </w:tcBorders>
                  <w:vAlign w:val="center"/>
                </w:tcPr>
                <w:p>
                  <w:pPr>
                    <w:widowControl w:val="0"/>
                    <w:numPr>
                      <w:ilvl w:val="0"/>
                      <w:numId w:val="0"/>
                    </w:numPr>
                    <w:autoSpaceDE w:val="0"/>
                    <w:autoSpaceDN w:val="0"/>
                    <w:adjustRightInd w:val="0"/>
                    <w:snapToGrid w:val="0"/>
                    <w:jc w:val="center"/>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整改措施建议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50" w:type="pct"/>
                  <w:tcBorders>
                    <w:tl2br w:val="nil"/>
                    <w:tr2bl w:val="nil"/>
                  </w:tcBorders>
                  <w:vAlign w:val="center"/>
                </w:tcPr>
                <w:p>
                  <w:pPr>
                    <w:widowControl w:val="0"/>
                    <w:numPr>
                      <w:ilvl w:val="0"/>
                      <w:numId w:val="0"/>
                    </w:numPr>
                    <w:autoSpaceDE w:val="0"/>
                    <w:autoSpaceDN w:val="0"/>
                    <w:adjustRightInd w:val="0"/>
                    <w:snapToGrid w:val="0"/>
                    <w:jc w:val="center"/>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生态红线</w:t>
                  </w:r>
                </w:p>
              </w:tc>
              <w:tc>
                <w:tcPr>
                  <w:tcW w:w="2783" w:type="pct"/>
                  <w:tcBorders>
                    <w:tl2br w:val="nil"/>
                    <w:tr2bl w:val="nil"/>
                  </w:tcBorders>
                  <w:vAlign w:val="center"/>
                </w:tcPr>
                <w:p>
                  <w:pPr>
                    <w:widowControl w:val="0"/>
                    <w:numPr>
                      <w:ilvl w:val="0"/>
                      <w:numId w:val="0"/>
                    </w:numPr>
                    <w:autoSpaceDE w:val="0"/>
                    <w:autoSpaceDN w:val="0"/>
                    <w:adjustRightInd w:val="0"/>
                    <w:snapToGrid w:val="0"/>
                    <w:jc w:val="center"/>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建设项目选址于江苏省常州市天宁区郑陆镇</w:t>
                  </w:r>
                  <w:r>
                    <w:rPr>
                      <w:rFonts w:hint="eastAsia" w:eastAsia="仿宋" w:cs="Times New Roman"/>
                      <w:kern w:val="0"/>
                      <w:szCs w:val="21"/>
                      <w:vertAlign w:val="baseline"/>
                      <w:lang w:val="en-US" w:eastAsia="zh-CN"/>
                    </w:rPr>
                    <w:t>三皇</w:t>
                  </w:r>
                  <w:r>
                    <w:rPr>
                      <w:rFonts w:hint="default" w:ascii="Times New Roman" w:hAnsi="Times New Roman" w:eastAsia="仿宋" w:cs="Times New Roman"/>
                      <w:kern w:val="0"/>
                      <w:szCs w:val="21"/>
                      <w:vertAlign w:val="baseline"/>
                      <w:lang w:val="en-US" w:eastAsia="zh-CN"/>
                    </w:rPr>
                    <w:t>村，在项目评价范围内不涉及常州市范围内的生态红线区域，不会导致常州市辖区内生态红线区域服务功能下降。因此，建设项目的建设不违背《江苏省生态空间管控区域规划》、《江苏省国家级生态保护红线规划》要求。</w:t>
                  </w:r>
                </w:p>
              </w:tc>
              <w:tc>
                <w:tcPr>
                  <w:tcW w:w="1666" w:type="pct"/>
                  <w:tcBorders>
                    <w:tl2br w:val="nil"/>
                    <w:tr2bl w:val="nil"/>
                  </w:tcBorders>
                  <w:vAlign w:val="center"/>
                </w:tcPr>
                <w:p>
                  <w:pPr>
                    <w:widowControl w:val="0"/>
                    <w:numPr>
                      <w:ilvl w:val="0"/>
                      <w:numId w:val="0"/>
                    </w:numPr>
                    <w:autoSpaceDE w:val="0"/>
                    <w:autoSpaceDN w:val="0"/>
                    <w:adjustRightInd w:val="0"/>
                    <w:snapToGrid w:val="0"/>
                    <w:jc w:val="center"/>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50" w:type="pct"/>
                  <w:tcBorders>
                    <w:tl2br w:val="nil"/>
                    <w:tr2bl w:val="nil"/>
                  </w:tcBorders>
                  <w:vAlign w:val="center"/>
                </w:tcPr>
                <w:p>
                  <w:pPr>
                    <w:widowControl w:val="0"/>
                    <w:numPr>
                      <w:ilvl w:val="0"/>
                      <w:numId w:val="0"/>
                    </w:numPr>
                    <w:autoSpaceDE w:val="0"/>
                    <w:autoSpaceDN w:val="0"/>
                    <w:adjustRightInd w:val="0"/>
                    <w:snapToGrid w:val="0"/>
                    <w:jc w:val="center"/>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环境质量底线</w:t>
                  </w:r>
                </w:p>
              </w:tc>
              <w:tc>
                <w:tcPr>
                  <w:tcW w:w="2783" w:type="pct"/>
                  <w:tcBorders>
                    <w:tl2br w:val="nil"/>
                    <w:tr2bl w:val="nil"/>
                  </w:tcBorders>
                  <w:vAlign w:val="center"/>
                </w:tcPr>
                <w:p>
                  <w:pPr>
                    <w:widowControl w:val="0"/>
                    <w:numPr>
                      <w:ilvl w:val="0"/>
                      <w:numId w:val="0"/>
                    </w:numPr>
                    <w:autoSpaceDE w:val="0"/>
                    <w:autoSpaceDN w:val="0"/>
                    <w:adjustRightInd w:val="0"/>
                    <w:snapToGrid w:val="0"/>
                    <w:jc w:val="both"/>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2019年常州市环境空气中二氧化硫、二氧化氮、颗粒物年均值和一氧化</w:t>
                  </w:r>
                  <w:r>
                    <w:rPr>
                      <w:rFonts w:hint="eastAsia" w:eastAsia="仿宋" w:cs="Times New Roman"/>
                      <w:kern w:val="0"/>
                      <w:szCs w:val="21"/>
                      <w:vertAlign w:val="baseline"/>
                      <w:lang w:val="en-US" w:eastAsia="zh-CN"/>
                    </w:rPr>
                    <w:t>炭</w:t>
                  </w:r>
                  <w:r>
                    <w:rPr>
                      <w:rFonts w:hint="default" w:ascii="Times New Roman" w:hAnsi="Times New Roman" w:eastAsia="仿宋" w:cs="Times New Roman"/>
                      <w:kern w:val="0"/>
                      <w:szCs w:val="21"/>
                      <w:vertAlign w:val="baseline"/>
                      <w:lang w:val="en-US" w:eastAsia="zh-CN"/>
                    </w:rPr>
                    <w:t>24小时平均值均达到环境空气质量二级标准；</w:t>
                  </w:r>
                </w:p>
                <w:p>
                  <w:pPr>
                    <w:widowControl w:val="0"/>
                    <w:numPr>
                      <w:ilvl w:val="0"/>
                      <w:numId w:val="0"/>
                    </w:numPr>
                    <w:autoSpaceDE w:val="0"/>
                    <w:autoSpaceDN w:val="0"/>
                    <w:adjustRightInd w:val="0"/>
                    <w:snapToGrid w:val="0"/>
                    <w:jc w:val="both"/>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①细颗粒物年均值和臭氧日最大8小时滑动均值均超过环境空气质量二级标准；</w:t>
                  </w:r>
                </w:p>
                <w:p>
                  <w:pPr>
                    <w:widowControl w:val="0"/>
                    <w:numPr>
                      <w:ilvl w:val="0"/>
                      <w:numId w:val="0"/>
                    </w:numPr>
                    <w:autoSpaceDE w:val="0"/>
                    <w:autoSpaceDN w:val="0"/>
                    <w:adjustRightInd w:val="0"/>
                    <w:snapToGrid w:val="0"/>
                    <w:jc w:val="both"/>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②本项目附近水环境、声环境、大气环境</w:t>
                  </w:r>
                  <w:r>
                    <w:rPr>
                      <w:rFonts w:hint="eastAsia" w:eastAsia="仿宋" w:cs="Times New Roman"/>
                      <w:kern w:val="0"/>
                      <w:szCs w:val="21"/>
                      <w:vertAlign w:val="baseline"/>
                      <w:lang w:val="en-US" w:eastAsia="zh-CN"/>
                    </w:rPr>
                    <w:t>中</w:t>
                  </w:r>
                  <w:r>
                    <w:rPr>
                      <w:rFonts w:hint="default" w:ascii="Times New Roman" w:hAnsi="Times New Roman" w:eastAsia="仿宋" w:cs="Times New Roman"/>
                      <w:kern w:val="0"/>
                      <w:szCs w:val="21"/>
                      <w:vertAlign w:val="baseline"/>
                      <w:lang w:val="en-US" w:eastAsia="zh-CN"/>
                    </w:rPr>
                    <w:t>非甲烷总烃能够满足相应的标准要求。</w:t>
                  </w:r>
                </w:p>
                <w:p>
                  <w:pPr>
                    <w:widowControl w:val="0"/>
                    <w:numPr>
                      <w:ilvl w:val="0"/>
                      <w:numId w:val="0"/>
                    </w:numPr>
                    <w:autoSpaceDE w:val="0"/>
                    <w:autoSpaceDN w:val="0"/>
                    <w:adjustRightInd w:val="0"/>
                    <w:snapToGrid w:val="0"/>
                    <w:jc w:val="both"/>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③本项目生活污水经化粪池预处理，依托出租方常州市华茂铸造有限公司已有管网接管排入郑陆污水处理有限公司，处理达标后排放</w:t>
                  </w:r>
                </w:p>
                <w:p>
                  <w:pPr>
                    <w:widowControl w:val="0"/>
                    <w:numPr>
                      <w:ilvl w:val="0"/>
                      <w:numId w:val="0"/>
                    </w:numPr>
                    <w:autoSpaceDE w:val="0"/>
                    <w:autoSpaceDN w:val="0"/>
                    <w:adjustRightInd w:val="0"/>
                    <w:snapToGrid w:val="0"/>
                    <w:jc w:val="both"/>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④本项目淬火、回火产生的非甲烷总烃利用集气罩收集后经</w:t>
                  </w:r>
                  <w:r>
                    <w:rPr>
                      <w:rFonts w:hint="eastAsia" w:eastAsia="仿宋" w:cs="Times New Roman"/>
                      <w:kern w:val="0"/>
                      <w:szCs w:val="21"/>
                      <w:vertAlign w:val="baseline"/>
                      <w:lang w:val="en-US" w:eastAsia="zh-CN"/>
                    </w:rPr>
                    <w:t>UV光氧化</w:t>
                  </w:r>
                  <w:r>
                    <w:rPr>
                      <w:rFonts w:hint="default" w:ascii="Times New Roman" w:hAnsi="Times New Roman" w:eastAsia="仿宋" w:cs="Times New Roman"/>
                      <w:kern w:val="0"/>
                      <w:szCs w:val="21"/>
                      <w:vertAlign w:val="baseline"/>
                      <w:lang w:val="en-US" w:eastAsia="zh-CN"/>
                    </w:rPr>
                    <w:t>＋活性炭吸附装处置（处理效率90%）后由15m高1#排气筒排放。</w:t>
                  </w:r>
                </w:p>
                <w:p>
                  <w:pPr>
                    <w:widowControl w:val="0"/>
                    <w:numPr>
                      <w:ilvl w:val="0"/>
                      <w:numId w:val="0"/>
                    </w:numPr>
                    <w:autoSpaceDE w:val="0"/>
                    <w:autoSpaceDN w:val="0"/>
                    <w:adjustRightInd w:val="0"/>
                    <w:snapToGrid w:val="0"/>
                    <w:jc w:val="both"/>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⑤项目的设备产生的噪声经过墙体的阻隔对外环境的影响较小。</w:t>
                  </w:r>
                </w:p>
                <w:p>
                  <w:pPr>
                    <w:widowControl w:val="0"/>
                    <w:numPr>
                      <w:ilvl w:val="0"/>
                      <w:numId w:val="0"/>
                    </w:numPr>
                    <w:autoSpaceDE w:val="0"/>
                    <w:autoSpaceDN w:val="0"/>
                    <w:adjustRightInd w:val="0"/>
                    <w:snapToGrid w:val="0"/>
                    <w:jc w:val="both"/>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⑥本项目固废均合理处置，实现固废零排放。符合环境质量底线要求。</w:t>
                  </w:r>
                </w:p>
              </w:tc>
              <w:tc>
                <w:tcPr>
                  <w:tcW w:w="1666" w:type="pct"/>
                  <w:tcBorders>
                    <w:tl2br w:val="nil"/>
                    <w:tr2bl w:val="nil"/>
                  </w:tcBorders>
                  <w:vAlign w:val="center"/>
                </w:tcPr>
                <w:p>
                  <w:pPr>
                    <w:widowControl w:val="0"/>
                    <w:numPr>
                      <w:ilvl w:val="0"/>
                      <w:numId w:val="0"/>
                    </w:numPr>
                    <w:autoSpaceDE w:val="0"/>
                    <w:autoSpaceDN w:val="0"/>
                    <w:adjustRightInd w:val="0"/>
                    <w:snapToGrid w:val="0"/>
                    <w:jc w:val="center"/>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据省政府与常州市签订的《2020年打好污染防治攻坚战目标责任书》以及市委、市政府《关于全面加强生态环境保护坚决打好污染防治攻坚战的实施意见》（常发〔2018〕30号）、《常州市“两减六治三提升”专项行动实施方案》（常发〔2017〕9号），制定了2020年全市打好污染防治攻坚战工作方案。方案中提出打好柴油货车污染治理攻坚战、加强重点行业治理改造、实施天然气锅炉低氮改造等重点任务，进一步改善大气环境质量。通过各项有效措施，本项目所在地的空气环境质量将得到改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50" w:type="pct"/>
                  <w:tcBorders>
                    <w:tl2br w:val="nil"/>
                    <w:tr2bl w:val="nil"/>
                  </w:tcBorders>
                  <w:vAlign w:val="center"/>
                </w:tcPr>
                <w:p>
                  <w:pPr>
                    <w:widowControl w:val="0"/>
                    <w:numPr>
                      <w:ilvl w:val="0"/>
                      <w:numId w:val="0"/>
                    </w:numPr>
                    <w:autoSpaceDE w:val="0"/>
                    <w:autoSpaceDN w:val="0"/>
                    <w:adjustRightInd w:val="0"/>
                    <w:snapToGrid w:val="0"/>
                    <w:jc w:val="center"/>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资源利用上线</w:t>
                  </w:r>
                </w:p>
              </w:tc>
              <w:tc>
                <w:tcPr>
                  <w:tcW w:w="2783" w:type="pct"/>
                  <w:tcBorders>
                    <w:tl2br w:val="nil"/>
                    <w:tr2bl w:val="nil"/>
                  </w:tcBorders>
                  <w:vAlign w:val="center"/>
                </w:tcPr>
                <w:p>
                  <w:pPr>
                    <w:widowControl w:val="0"/>
                    <w:numPr>
                      <w:ilvl w:val="0"/>
                      <w:numId w:val="0"/>
                    </w:numPr>
                    <w:autoSpaceDE w:val="0"/>
                    <w:autoSpaceDN w:val="0"/>
                    <w:adjustRightInd w:val="0"/>
                    <w:snapToGrid w:val="0"/>
                    <w:jc w:val="both"/>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本项目生产过程中所用的资源主要为水、电。本项目所在地水资源丰富。此外，企业将采取有效的节电节水措施，符合资源利用上线相关要求。</w:t>
                  </w:r>
                </w:p>
              </w:tc>
              <w:tc>
                <w:tcPr>
                  <w:tcW w:w="1666" w:type="pct"/>
                  <w:tcBorders>
                    <w:tl2br w:val="nil"/>
                    <w:tr2bl w:val="nil"/>
                  </w:tcBorders>
                  <w:vAlign w:val="center"/>
                </w:tcPr>
                <w:p>
                  <w:pPr>
                    <w:widowControl w:val="0"/>
                    <w:numPr>
                      <w:ilvl w:val="0"/>
                      <w:numId w:val="0"/>
                    </w:numPr>
                    <w:autoSpaceDE w:val="0"/>
                    <w:autoSpaceDN w:val="0"/>
                    <w:adjustRightInd w:val="0"/>
                    <w:snapToGrid w:val="0"/>
                    <w:jc w:val="center"/>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50" w:type="pct"/>
                  <w:tcBorders>
                    <w:tl2br w:val="nil"/>
                    <w:tr2bl w:val="nil"/>
                  </w:tcBorders>
                  <w:vAlign w:val="center"/>
                </w:tcPr>
                <w:p>
                  <w:pPr>
                    <w:widowControl w:val="0"/>
                    <w:numPr>
                      <w:ilvl w:val="0"/>
                      <w:numId w:val="0"/>
                    </w:numPr>
                    <w:autoSpaceDE w:val="0"/>
                    <w:autoSpaceDN w:val="0"/>
                    <w:adjustRightInd w:val="0"/>
                    <w:snapToGrid w:val="0"/>
                    <w:jc w:val="center"/>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环境准入负面清单</w:t>
                  </w:r>
                </w:p>
              </w:tc>
              <w:tc>
                <w:tcPr>
                  <w:tcW w:w="2783" w:type="pct"/>
                  <w:tcBorders>
                    <w:tl2br w:val="nil"/>
                    <w:tr2bl w:val="nil"/>
                  </w:tcBorders>
                  <w:vAlign w:val="center"/>
                </w:tcPr>
                <w:p>
                  <w:pPr>
                    <w:widowControl w:val="0"/>
                    <w:numPr>
                      <w:ilvl w:val="0"/>
                      <w:numId w:val="0"/>
                    </w:numPr>
                    <w:autoSpaceDE w:val="0"/>
                    <w:autoSpaceDN w:val="0"/>
                    <w:adjustRightInd w:val="0"/>
                    <w:snapToGrid w:val="0"/>
                    <w:jc w:val="both"/>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不属于《产业结构调整指导目录（2019年本）》中的限制和淘汰类项目；不属于《江苏省工业和信息产业结构调整指导目录（2012年本）》（苏政办发[2013]9号）及关于修改《江苏省工业和信息产业结构调整指导目录（2012年本）》中限制和淘汰类项目；本项目不属于《限制用地项目目录（2012年本）》和《禁止用地项目目录（2012年本）》中所规定的类别，不属于《江苏省限制用地项目目录（2013年本）》和《江苏省限制用地项目目录（2013年本）》中所规定的类别的项目；本项目不属于《江苏省太湖水污染防治条例》、《太湖流域管理条例》禁止建设项目；本项目不属于《市场准入负面清单（2020年版）》及《长江经济带发展负面清单指南（试行）》中禁止和限制类项目。因此，本项目不在负面清单内。</w:t>
                  </w:r>
                </w:p>
              </w:tc>
              <w:tc>
                <w:tcPr>
                  <w:tcW w:w="1666" w:type="pct"/>
                  <w:tcBorders>
                    <w:tl2br w:val="nil"/>
                    <w:tr2bl w:val="nil"/>
                  </w:tcBorders>
                  <w:vAlign w:val="center"/>
                </w:tcPr>
                <w:p>
                  <w:pPr>
                    <w:widowControl w:val="0"/>
                    <w:numPr>
                      <w:ilvl w:val="0"/>
                      <w:numId w:val="0"/>
                    </w:numPr>
                    <w:autoSpaceDE w:val="0"/>
                    <w:autoSpaceDN w:val="0"/>
                    <w:adjustRightInd w:val="0"/>
                    <w:snapToGrid w:val="0"/>
                    <w:jc w:val="center"/>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0" w:firstLineChars="0"/>
              <w:jc w:val="center"/>
              <w:textAlignment w:val="auto"/>
              <w:rPr>
                <w:rFonts w:hint="default" w:ascii="Times New Roman" w:hAnsi="Times New Roman" w:eastAsia="仿宋" w:cs="Times New Roman"/>
                <w:b/>
                <w:bCs/>
                <w:color w:val="auto"/>
                <w:kern w:val="0"/>
                <w:sz w:val="24"/>
                <w:szCs w:val="24"/>
                <w:lang w:val="en-US" w:eastAsia="zh-CN"/>
              </w:rPr>
            </w:pPr>
            <w:r>
              <w:rPr>
                <w:rFonts w:hint="default" w:ascii="Times New Roman" w:hAnsi="Times New Roman" w:eastAsia="仿宋" w:cs="Times New Roman"/>
                <w:b/>
                <w:bCs/>
                <w:color w:val="auto"/>
                <w:kern w:val="0"/>
                <w:sz w:val="24"/>
                <w:szCs w:val="24"/>
                <w:lang w:val="en-US" w:eastAsia="zh-CN"/>
              </w:rPr>
              <w:t>表1-2 与《关于印发常州市“三线一单生态环境分区管控实施方案的通知》(常环[2020</w:t>
            </w:r>
            <w:r>
              <w:rPr>
                <w:rFonts w:hint="eastAsia" w:eastAsia="仿宋" w:cs="Times New Roman"/>
                <w:b/>
                <w:bCs/>
                <w:color w:val="auto"/>
                <w:kern w:val="0"/>
                <w:sz w:val="24"/>
                <w:szCs w:val="24"/>
                <w:lang w:val="en-US" w:eastAsia="zh-CN"/>
              </w:rPr>
              <w:t>]</w:t>
            </w:r>
            <w:r>
              <w:rPr>
                <w:rFonts w:hint="default" w:ascii="Times New Roman" w:hAnsi="Times New Roman" w:eastAsia="仿宋" w:cs="Times New Roman"/>
                <w:b/>
                <w:bCs/>
                <w:color w:val="auto"/>
                <w:kern w:val="0"/>
                <w:sz w:val="24"/>
                <w:szCs w:val="24"/>
                <w:lang w:val="en-US" w:eastAsia="zh-CN"/>
              </w:rPr>
              <w:t>95号)相符性对照情况</w:t>
            </w:r>
          </w:p>
          <w:tbl>
            <w:tblPr>
              <w:tblStyle w:val="18"/>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8"/>
              <w:gridCol w:w="3465"/>
              <w:gridCol w:w="2181"/>
              <w:gridCol w:w="11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798"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生态环境准入清单</w:t>
                  </w:r>
                </w:p>
              </w:tc>
              <w:tc>
                <w:tcPr>
                  <w:tcW w:w="145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对照分析</w:t>
                  </w:r>
                </w:p>
              </w:tc>
              <w:tc>
                <w:tcPr>
                  <w:tcW w:w="74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本项目是否满足要求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8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空间布局约束</w:t>
                  </w:r>
                </w:p>
              </w:tc>
              <w:tc>
                <w:tcPr>
                  <w:tcW w:w="23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（1）各类开发建设活动应符合常州市总体规划、控制性详细规划、土地利用规划等相关要求。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（2）禁止引入列入《产业结构调整指导目录（2019年本）》、《江苏省产业结构调整限制、淘汰和禁止目录》、《江苏省工业和信息产业结构调整、限制、淘汰目录及能耗限额》淘汰类的产业。</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（3）禁止引入不符合《江苏省太湖流域水污染防治条例》要求的项目。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（4）不得新建、改建、扩建印染项目。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（5）禁养区范围内禁止建设畜禽养殖场、养殖小区。</w:t>
                  </w:r>
                </w:p>
              </w:tc>
              <w:tc>
                <w:tcPr>
                  <w:tcW w:w="145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本项目</w:t>
                  </w:r>
                  <w:r>
                    <w:rPr>
                      <w:rFonts w:hint="eastAsia" w:eastAsia="仿宋" w:cs="Times New Roman"/>
                      <w:b w:val="0"/>
                      <w:bCs w:val="0"/>
                      <w:color w:val="auto"/>
                      <w:kern w:val="0"/>
                      <w:sz w:val="21"/>
                      <w:szCs w:val="21"/>
                      <w:vertAlign w:val="baseline"/>
                      <w:lang w:val="en-US" w:eastAsia="zh-CN"/>
                    </w:rPr>
                    <w:t>（1）</w:t>
                  </w:r>
                  <w:r>
                    <w:rPr>
                      <w:rFonts w:hint="default" w:ascii="Times New Roman" w:hAnsi="Times New Roman" w:eastAsia="仿宋" w:cs="Times New Roman"/>
                      <w:b w:val="0"/>
                      <w:bCs w:val="0"/>
                      <w:color w:val="auto"/>
                      <w:kern w:val="0"/>
                      <w:sz w:val="21"/>
                      <w:szCs w:val="21"/>
                      <w:vertAlign w:val="baseline"/>
                      <w:lang w:val="en-US" w:eastAsia="zh-CN"/>
                    </w:rPr>
                    <w:t>符合常州市总体规划、控制性详细规划、土地利用规划等相关要求</w:t>
                  </w:r>
                  <w:r>
                    <w:rPr>
                      <w:rFonts w:hint="eastAsia" w:eastAsia="仿宋" w:cs="Times New Roman"/>
                      <w:b w:val="0"/>
                      <w:bCs w:val="0"/>
                      <w:color w:val="auto"/>
                      <w:kern w:val="0"/>
                      <w:sz w:val="21"/>
                      <w:szCs w:val="21"/>
                      <w:vertAlign w:val="baseline"/>
                      <w:lang w:val="en-US" w:eastAsia="zh-CN"/>
                    </w:rPr>
                    <w:t>。（2）不属于列入《产业结构调整指导目录（2019年本）》、《江苏省产业结构调整限制、淘汰和禁止目录》、《江苏省工业和信息产业结构调整、限制、淘汰目录及能耗限额》淘汰类的产业。（3）符合《江苏省太湖流域水污染防治条例》要求。（4）不属于印染项目、畜禽养殖场、养殖小区</w:t>
                  </w:r>
                </w:p>
              </w:tc>
              <w:tc>
                <w:tcPr>
                  <w:tcW w:w="74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8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污染物排放管控</w:t>
                  </w:r>
                </w:p>
              </w:tc>
              <w:tc>
                <w:tcPr>
                  <w:tcW w:w="23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（1）落实污染物总量控制制度，根据区域环境质量改善目标，削减污染物排放总量。</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（2）进一步开展管网排查，提升污水收集效率。强化餐饮油烟治理，加强噪声污染防治，严格施工扬尘监管，加强土壤和地下水污染防治与修复。</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（3）加强农业面源污染治理，严格控制化肥农药施加量，合理水产养殖布局，控制水产养殖污染，逐步削减农业面源污染物排放量。</w:t>
                  </w:r>
                </w:p>
              </w:tc>
              <w:tc>
                <w:tcPr>
                  <w:tcW w:w="145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本项目按要求进行总量平衡</w:t>
                  </w:r>
                  <w:r>
                    <w:rPr>
                      <w:rFonts w:hint="eastAsia" w:eastAsia="仿宋" w:cs="Times New Roman"/>
                      <w:b w:val="0"/>
                      <w:bCs w:val="0"/>
                      <w:color w:val="auto"/>
                      <w:kern w:val="0"/>
                      <w:sz w:val="21"/>
                      <w:szCs w:val="21"/>
                      <w:vertAlign w:val="baseline"/>
                      <w:lang w:val="en-US" w:eastAsia="zh-CN"/>
                    </w:rPr>
                    <w:t>，</w:t>
                  </w:r>
                  <w:r>
                    <w:rPr>
                      <w:rFonts w:hint="default" w:ascii="Times New Roman" w:hAnsi="Times New Roman" w:eastAsia="仿宋" w:cs="Times New Roman"/>
                      <w:b w:val="0"/>
                      <w:bCs w:val="0"/>
                      <w:color w:val="auto"/>
                      <w:kern w:val="0"/>
                      <w:sz w:val="21"/>
                      <w:szCs w:val="21"/>
                      <w:vertAlign w:val="baseline"/>
                      <w:lang w:val="en-US" w:eastAsia="zh-CN"/>
                    </w:rPr>
                    <w:t>营运期排放量不超过申请量</w:t>
                  </w:r>
                </w:p>
              </w:tc>
              <w:tc>
                <w:tcPr>
                  <w:tcW w:w="74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48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环境风险防控</w:t>
                  </w:r>
                </w:p>
              </w:tc>
              <w:tc>
                <w:tcPr>
                  <w:tcW w:w="23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（1）加强环境风险防范应急体系建设，加强环境应急预案管理，定期开展应急演练，持续开展环境安全隐患排查整治，提升应急监测能力，加强应急物资管理。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（2）合理布局商业、居住、科教等功能区块，严格控制噪声、恶臭、油烟等污染排放较大的建设项目布局。</w:t>
                  </w:r>
                </w:p>
              </w:tc>
              <w:tc>
                <w:tcPr>
                  <w:tcW w:w="145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本项目环评编制完成后，企业编制完善突发环境事件应急预案以及跟踪评价。</w:t>
                  </w:r>
                </w:p>
              </w:tc>
              <w:tc>
                <w:tcPr>
                  <w:tcW w:w="74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8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资源开发效率要求</w:t>
                  </w:r>
                </w:p>
              </w:tc>
              <w:tc>
                <w:tcPr>
                  <w:tcW w:w="23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（1）优化能源结构，加强能源清洁利用。</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（2）万元GDP能耗、万元GDP用水量等指标达到市定目标。</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（3）提高土地利用效率、节约集约利用土地资源。</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（4）严格按照《高污染燃料目录》要求，落实相应的禁燃区管控要求。</w:t>
                  </w:r>
                </w:p>
              </w:tc>
              <w:tc>
                <w:tcPr>
                  <w:tcW w:w="145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本项目使用电和水作为能源。严格按照《高污染燃料目录》要求，落实相应的禁燃区管控要求</w:t>
                  </w:r>
                  <w:r>
                    <w:rPr>
                      <w:rFonts w:hint="eastAsia" w:eastAsia="仿宋" w:cs="Times New Roman"/>
                      <w:b w:val="0"/>
                      <w:bCs w:val="0"/>
                      <w:color w:val="auto"/>
                      <w:kern w:val="0"/>
                      <w:sz w:val="21"/>
                      <w:szCs w:val="21"/>
                      <w:vertAlign w:val="baseline"/>
                      <w:lang w:val="en-US" w:eastAsia="zh-CN"/>
                    </w:rPr>
                    <w:t>。</w:t>
                  </w:r>
                </w:p>
              </w:tc>
              <w:tc>
                <w:tcPr>
                  <w:tcW w:w="74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val="0"/>
                      <w:bCs w:val="0"/>
                      <w:color w:val="auto"/>
                      <w:kern w:val="0"/>
                      <w:sz w:val="21"/>
                      <w:szCs w:val="21"/>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rPr>
                    <w:t>是</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2.生态环境保护法律法规政策、规划相符性分析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表1-3 生态环境保护法律法规政策、规划相符性分析</w:t>
            </w:r>
          </w:p>
          <w:tbl>
            <w:tblPr>
              <w:tblStyle w:val="18"/>
              <w:tblW w:w="5000" w:type="pct"/>
              <w:tblInd w:w="-5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8"/>
              <w:gridCol w:w="4305"/>
              <w:gridCol w:w="1745"/>
              <w:gridCol w:w="7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59"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对照文件</w:t>
                  </w:r>
                </w:p>
              </w:tc>
              <w:tc>
                <w:tcPr>
                  <w:tcW w:w="287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内容</w:t>
                  </w:r>
                </w:p>
              </w:tc>
              <w:tc>
                <w:tcPr>
                  <w:tcW w:w="11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本项目情况</w:t>
                  </w:r>
                </w:p>
              </w:tc>
              <w:tc>
                <w:tcPr>
                  <w:tcW w:w="5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是否相符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59"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太湖流域管理条例</w:t>
                  </w:r>
                </w:p>
              </w:tc>
              <w:tc>
                <w:tcPr>
                  <w:tcW w:w="287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第二十八条 排污单位排放水污染物，不得超过经核定的水污染物排放总量，并应当按照规定设置便于检查、采样的规范化排污口，悬挂标志牌；不得私设暗管或者采取其他规避监管的方式排放水污染物。</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禁止在太湖流域设置不符合国家产业政策和水环境综合治理要求的造纸、制革、酒精、淀粉、冶金、酿造、印染、电镀等排放水污染物的生产项目，现有的生产项目不能实现达标排放的，应当依法关闭。</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在太湖流域新设企业应当符合国家规定的清洁生产要求，现有的企业尚未达到清洁生产要求的，应当按照清洁生产规划要求进行技术改造，两省一市人民政府应当加强监督检查。</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第二十九条 新孟河、望虞河以外的其他主要入太湖河道，自河口1万米上溯至5万米河道岸线内及其岸线两侧各1000米范围内，禁止下列行为：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（一）新建、扩建化工、医药生产项目；</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（二）新建、扩建污水集中处理设施排污口以外的排污口；</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（三）扩大水产养殖规模。</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第三十条 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（一）设置剧毒物质、危险化学品的贮存、输送设施和废物回收场、垃圾场；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（二）设置水上餐饮经营设施；</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（三）新建、扩建高尔夫球场；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（四）新建、扩建畜禽养殖场；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（五）新建、扩建向水体排放污染物的建设项目；</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（六）本条例第二十九条规定的行为。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已经设置前款第一项、第二项规定设施的，当地县级人民政府应当责令拆除或者关闭。</w:t>
                  </w:r>
                </w:p>
              </w:tc>
              <w:tc>
                <w:tcPr>
                  <w:tcW w:w="11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本项目为模具、金属部件</w:t>
                  </w:r>
                  <w:r>
                    <w:rPr>
                      <w:rFonts w:hint="eastAsia" w:eastAsia="仿宋" w:cs="Times New Roman"/>
                      <w:kern w:val="0"/>
                      <w:szCs w:val="21"/>
                      <w:vertAlign w:val="baseline"/>
                      <w:lang w:val="en-US" w:eastAsia="zh-CN"/>
                    </w:rPr>
                    <w:t>热处理</w:t>
                  </w:r>
                  <w:r>
                    <w:rPr>
                      <w:rFonts w:hint="default" w:ascii="Times New Roman" w:hAnsi="Times New Roman" w:eastAsia="仿宋" w:cs="Times New Roman"/>
                      <w:kern w:val="0"/>
                      <w:szCs w:val="21"/>
                      <w:vertAlign w:val="baseline"/>
                      <w:lang w:val="en-US" w:eastAsia="zh-CN"/>
                    </w:rPr>
                    <w:t>加工项目，</w:t>
                  </w:r>
                  <w:r>
                    <w:rPr>
                      <w:rFonts w:hint="eastAsia" w:eastAsia="仿宋" w:cs="Times New Roman"/>
                      <w:kern w:val="0"/>
                      <w:szCs w:val="21"/>
                      <w:vertAlign w:val="baseline"/>
                      <w:lang w:val="en-US" w:eastAsia="zh-CN"/>
                    </w:rPr>
                    <w:t>生产过程中</w:t>
                  </w:r>
                  <w:r>
                    <w:rPr>
                      <w:rFonts w:hint="default" w:ascii="Times New Roman" w:hAnsi="Times New Roman" w:eastAsia="仿宋" w:cs="Times New Roman"/>
                      <w:kern w:val="0"/>
                      <w:szCs w:val="21"/>
                      <w:vertAlign w:val="baseline"/>
                      <w:lang w:val="en-US" w:eastAsia="zh-CN"/>
                    </w:rPr>
                    <w:t>不涉及生产废水。</w:t>
                  </w:r>
                </w:p>
              </w:tc>
              <w:tc>
                <w:tcPr>
                  <w:tcW w:w="5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59"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江苏省太湖水污染防治条例</w:t>
                  </w:r>
                </w:p>
              </w:tc>
              <w:tc>
                <w:tcPr>
                  <w:tcW w:w="287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第四十三条 太湖流域一、二、三级保护区禁止下列行为：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（一）新建、改建、扩建化学制浆造纸、制革、酿造、染料、印染、电镀以及其他排放含磷、氮等污染物的企业和项目，城镇污水集中处理等环境基础设施项目和第四十六条规定的情形除外；</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（二）销售、使用含磷洗涤用品；</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（三）向水体排放或者倾倒油类、酸液、碱液、剧毒废渣废液、含放射性废渣废液、含病原体污水、工业废渣以及其他废弃物；</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（四）在水体清洗装贮过油类或者有毒有害污染物的车辆、船舶和容器等；</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（五）使用农药等有毒物毒杀水生生物；</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（六）向水体直接排放人畜粪便、倾倒垃圾；</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（七）围湖造地；</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（八）违法开山采石，或者进行破坏林木、植被、水生生物的活动；</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（九）法律、法规禁止的其他行为。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第四十六条 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1.1倍实施减量替代；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前款规定中新建、改建、扩建以及技术改造项目的环境影响报告书，除由国务院环境保护主管部门负责审批的情形外，由省环境保护主管部门审批。其中，新建、扩建项目减量替代具体方案，应当在审批机关审查同意前实施完成，完成情况书面报送审批机关。</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本条所指排放含磷、氮等污染物的战略性新兴产业具体类别，由省发展改革部门会同省经济和信息化、环境保护主管部门拟定并报省人民政府批准后公布。</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太湖流域设区的市减量完成情况应当纳入省人民政府水环境质量考核体系。太湖流域县级以上地方人民政府应当将减量完成情况作为向本级人民代表大会常务委员会报告水污染防治工作的内容。</w:t>
                  </w:r>
                </w:p>
              </w:tc>
              <w:tc>
                <w:tcPr>
                  <w:tcW w:w="11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本项目为模具、金属部件</w:t>
                  </w:r>
                  <w:r>
                    <w:rPr>
                      <w:rFonts w:hint="eastAsia" w:eastAsia="仿宋" w:cs="Times New Roman"/>
                      <w:kern w:val="0"/>
                      <w:szCs w:val="21"/>
                      <w:vertAlign w:val="baseline"/>
                      <w:lang w:val="en-US" w:eastAsia="zh-CN"/>
                    </w:rPr>
                    <w:t>热处理</w:t>
                  </w:r>
                  <w:r>
                    <w:rPr>
                      <w:rFonts w:hint="default" w:ascii="Times New Roman" w:hAnsi="Times New Roman" w:eastAsia="仿宋" w:cs="Times New Roman"/>
                      <w:kern w:val="0"/>
                      <w:szCs w:val="21"/>
                      <w:vertAlign w:val="baseline"/>
                      <w:lang w:val="en-US" w:eastAsia="zh-CN"/>
                    </w:rPr>
                    <w:t>加工项目，</w:t>
                  </w:r>
                  <w:r>
                    <w:rPr>
                      <w:rFonts w:eastAsia="仿宋"/>
                      <w:kern w:val="0"/>
                      <w:szCs w:val="21"/>
                    </w:rPr>
                    <w:t>不属于</w:t>
                  </w:r>
                  <w:r>
                    <w:rPr>
                      <w:rFonts w:hint="eastAsia" w:eastAsia="仿宋"/>
                      <w:kern w:val="0"/>
                      <w:szCs w:val="21"/>
                      <w:lang w:val="en-US" w:eastAsia="zh-CN"/>
                    </w:rPr>
                    <w:t>太湖流域一、二、三级保护区禁止行为</w:t>
                  </w:r>
                  <w:r>
                    <w:rPr>
                      <w:rFonts w:hint="eastAsia" w:eastAsia="仿宋"/>
                      <w:kern w:val="0"/>
                      <w:szCs w:val="21"/>
                      <w:lang w:eastAsia="zh-CN"/>
                    </w:rPr>
                    <w:t>；</w:t>
                  </w:r>
                  <w:r>
                    <w:rPr>
                      <w:rFonts w:hint="default" w:ascii="Times New Roman" w:hAnsi="Times New Roman" w:eastAsia="仿宋" w:cs="Times New Roman"/>
                      <w:kern w:val="0"/>
                      <w:szCs w:val="21"/>
                      <w:vertAlign w:val="baseline"/>
                      <w:lang w:val="en-US" w:eastAsia="zh-CN"/>
                    </w:rPr>
                    <w:t>经化粪池处理后的生活污水通过市政污水管网排入郑陆污水处理有限公司处理达标后排入舜河</w:t>
                  </w:r>
                  <w:r>
                    <w:rPr>
                      <w:rFonts w:hint="eastAsia" w:eastAsia="仿宋" w:cs="Times New Roman"/>
                      <w:kern w:val="0"/>
                      <w:szCs w:val="21"/>
                      <w:vertAlign w:val="baseline"/>
                      <w:lang w:val="en-US" w:eastAsia="zh-CN"/>
                    </w:rPr>
                    <w:t>，生产过程中无生产废水产生</w:t>
                  </w:r>
                  <w:r>
                    <w:rPr>
                      <w:rFonts w:hint="default" w:ascii="Times New Roman" w:hAnsi="Times New Roman" w:eastAsia="仿宋" w:cs="Times New Roman"/>
                      <w:kern w:val="0"/>
                      <w:szCs w:val="21"/>
                      <w:vertAlign w:val="baseline"/>
                      <w:lang w:val="en-US" w:eastAsia="zh-CN"/>
                    </w:rPr>
                    <w:t>。</w:t>
                  </w:r>
                </w:p>
              </w:tc>
              <w:tc>
                <w:tcPr>
                  <w:tcW w:w="5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59"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“两减六治三提升”专项行动方案</w:t>
                  </w:r>
                </w:p>
              </w:tc>
              <w:tc>
                <w:tcPr>
                  <w:tcW w:w="287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到2020年，太湖湖体高锰酸盐指数和氨氮稳定保持在Ⅱ类，总磷达到Ⅲ类，总氮达到Ⅴ类，流域总氮、总磷污染物排放量均比2015年削减16%以上，确保饮用水安全、确保不发生大面积湖泛。</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以源头控制、结构优化、综合治理、总量控制为原则，通过采用结构调整以及原料替代、过程管理、末端治理全过程污染控制措施，全面开展VOCs减排工作。重点削减工业源、移动源挥发性有机物排放，强化生活源挥发性有机物污染防治。全面建成VOCs综合防控体系，大幅减少VOCs排放总量。</w:t>
                  </w:r>
                </w:p>
              </w:tc>
              <w:tc>
                <w:tcPr>
                  <w:tcW w:w="11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本项目为模具、金属部件</w:t>
                  </w:r>
                  <w:r>
                    <w:rPr>
                      <w:rFonts w:hint="eastAsia" w:eastAsia="仿宋" w:cs="Times New Roman"/>
                      <w:kern w:val="0"/>
                      <w:szCs w:val="21"/>
                      <w:vertAlign w:val="baseline"/>
                      <w:lang w:val="en-US" w:eastAsia="zh-CN"/>
                    </w:rPr>
                    <w:t>热处理</w:t>
                  </w:r>
                  <w:r>
                    <w:rPr>
                      <w:rFonts w:hint="default" w:ascii="Times New Roman" w:hAnsi="Times New Roman" w:eastAsia="仿宋" w:cs="Times New Roman"/>
                      <w:kern w:val="0"/>
                      <w:szCs w:val="21"/>
                      <w:vertAlign w:val="baseline"/>
                      <w:lang w:val="en-US" w:eastAsia="zh-CN"/>
                    </w:rPr>
                    <w:t>加工项目，经化粪池处理后的生活污水通过市政污水管网排入郑陆污水处理有限公司处理达标后排入舜河</w:t>
                  </w:r>
                  <w:r>
                    <w:rPr>
                      <w:rFonts w:hint="eastAsia" w:eastAsia="仿宋" w:cs="Times New Roman"/>
                      <w:kern w:val="0"/>
                      <w:szCs w:val="21"/>
                      <w:vertAlign w:val="baseline"/>
                      <w:lang w:val="en-US" w:eastAsia="zh-CN"/>
                    </w:rPr>
                    <w:t>；淬火、回火产生的非甲烷总烃利用集气罩（收集效率90%）收集后经UV光氧化＋活性炭吸附装置处理（处理效率90%）后由15m高1#排气筒排放</w:t>
                  </w:r>
                  <w:r>
                    <w:rPr>
                      <w:rFonts w:hint="default" w:ascii="Times New Roman" w:hAnsi="Times New Roman" w:eastAsia="仿宋" w:cs="Times New Roman"/>
                      <w:kern w:val="0"/>
                      <w:szCs w:val="21"/>
                      <w:vertAlign w:val="baseline"/>
                      <w:lang w:val="en-US" w:eastAsia="zh-CN"/>
                    </w:rPr>
                    <w:t>。</w:t>
                  </w:r>
                </w:p>
              </w:tc>
              <w:tc>
                <w:tcPr>
                  <w:tcW w:w="5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59"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《关于印发&lt;“十三五”挥发性有机物污染防治工作方案&gt;的通知》（环大气[2017]121号）</w:t>
                  </w:r>
                </w:p>
              </w:tc>
              <w:tc>
                <w:tcPr>
                  <w:tcW w:w="287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严格建设项目环境准入。提高VOCs排放重点行业环保准入门槛，严格控制新增污染物排放量。重点地区要严格限制石化、化工、包装印刷、工业涂装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工程机械制造行业。推广使用高固体分、粉末涂料，到2020年底前，使用比例达到30%以上；试点推行水性漆。积极采用自动喷涂、静电喷涂等先进涂装技术。加强有机废气收集与治理，有机废气收集率不低于80%，建设吸附燃烧等高效治理设施，实现达标排放。</w:t>
                  </w:r>
                </w:p>
              </w:tc>
              <w:tc>
                <w:tcPr>
                  <w:tcW w:w="11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本项目为模具、金属部件</w:t>
                  </w:r>
                  <w:r>
                    <w:rPr>
                      <w:rFonts w:hint="eastAsia" w:eastAsia="仿宋" w:cs="Times New Roman"/>
                      <w:kern w:val="0"/>
                      <w:szCs w:val="21"/>
                      <w:vertAlign w:val="baseline"/>
                      <w:lang w:val="en-US" w:eastAsia="zh-CN"/>
                    </w:rPr>
                    <w:t>热处理</w:t>
                  </w:r>
                  <w:r>
                    <w:rPr>
                      <w:rFonts w:hint="default" w:ascii="Times New Roman" w:hAnsi="Times New Roman" w:eastAsia="仿宋" w:cs="Times New Roman"/>
                      <w:kern w:val="0"/>
                      <w:szCs w:val="21"/>
                      <w:vertAlign w:val="baseline"/>
                      <w:lang w:val="en-US" w:eastAsia="zh-CN"/>
                    </w:rPr>
                    <w:t>加工项目；淬火、回火时产生的有机废气利用集气罩（收集效率90%）收集后经</w:t>
                  </w:r>
                  <w:r>
                    <w:rPr>
                      <w:rFonts w:hint="eastAsia" w:eastAsia="仿宋" w:cs="Times New Roman"/>
                      <w:kern w:val="0"/>
                      <w:szCs w:val="21"/>
                      <w:vertAlign w:val="baseline"/>
                      <w:lang w:val="en-US" w:eastAsia="zh-CN"/>
                    </w:rPr>
                    <w:t>UV光氧化</w:t>
                  </w:r>
                  <w:r>
                    <w:rPr>
                      <w:rFonts w:hint="default" w:ascii="Times New Roman" w:hAnsi="Times New Roman" w:eastAsia="仿宋" w:cs="Times New Roman"/>
                      <w:kern w:val="0"/>
                      <w:szCs w:val="21"/>
                      <w:vertAlign w:val="baseline"/>
                      <w:lang w:val="en-US" w:eastAsia="zh-CN"/>
                    </w:rPr>
                    <w:t>＋活性炭吸附装置处理（处理效率90%）后由15m高1#排气筒排放。</w:t>
                  </w:r>
                </w:p>
              </w:tc>
              <w:tc>
                <w:tcPr>
                  <w:tcW w:w="5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59"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《关于印发&lt;2020年常州市打好污染防治攻坚战工作方案&gt;的通知》</w:t>
                  </w:r>
                </w:p>
              </w:tc>
              <w:tc>
                <w:tcPr>
                  <w:tcW w:w="287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通</w:t>
                  </w:r>
                  <w:r>
                    <w:rPr>
                      <w:rFonts w:hint="default" w:ascii="Times New Roman" w:hAnsi="Times New Roman" w:eastAsia="仿宋" w:cs="Times New Roman"/>
                      <w:kern w:val="0"/>
                      <w:szCs w:val="21"/>
                      <w:vertAlign w:val="baseline"/>
                      <w:lang w:val="en-US" w:eastAsia="zh-CN"/>
                    </w:rPr>
                    <w:t>知要求：深化VOCs专项治理。重点企业VOCs治理。鼓励引导企业和消费者实施清洁原料替代。建立VOCs排放控制综合管理系统，更新完善全市VOCs名录和重点监管企业名录，组织83家重点企业编制实施“一企一策”方案。加强企业VOCs无组织排放管理，推动企业实施密闭化、连续化、自动化改造，对采用单一光氧、低温等离子、活性</w:t>
                  </w:r>
                  <w:r>
                    <w:rPr>
                      <w:rFonts w:hint="eastAsia" w:eastAsia="仿宋" w:cs="Times New Roman"/>
                      <w:kern w:val="0"/>
                      <w:szCs w:val="21"/>
                      <w:vertAlign w:val="baseline"/>
                      <w:lang w:val="en-US" w:eastAsia="zh-CN"/>
                    </w:rPr>
                    <w:t>炭</w:t>
                  </w:r>
                  <w:r>
                    <w:rPr>
                      <w:rFonts w:hint="default" w:ascii="Times New Roman" w:hAnsi="Times New Roman" w:eastAsia="仿宋" w:cs="Times New Roman"/>
                      <w:kern w:val="0"/>
                      <w:szCs w:val="21"/>
                      <w:vertAlign w:val="baseline"/>
                      <w:lang w:val="en-US" w:eastAsia="zh-CN"/>
                    </w:rPr>
                    <w:t>吸收和不符合安全生产要求的处理设施进行升级改造。继续实施泄漏检测与修复技术（LDAR），化工园区完善LDAR 管理平台。2020年，全市重点工业行业VOCs排放量较2015年减少35%以上。</w:t>
                  </w:r>
                </w:p>
              </w:tc>
              <w:tc>
                <w:tcPr>
                  <w:tcW w:w="11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本项目淬火、回火产生的非甲烷总烃利用集气罩（收集效率90%）收集后经</w:t>
                  </w:r>
                  <w:r>
                    <w:rPr>
                      <w:rFonts w:hint="eastAsia" w:eastAsia="仿宋" w:cs="Times New Roman"/>
                      <w:kern w:val="0"/>
                      <w:szCs w:val="21"/>
                      <w:vertAlign w:val="baseline"/>
                      <w:lang w:val="en-US" w:eastAsia="zh-CN"/>
                    </w:rPr>
                    <w:t>UV光氧化</w:t>
                  </w:r>
                  <w:r>
                    <w:rPr>
                      <w:rFonts w:hint="default" w:ascii="Times New Roman" w:hAnsi="Times New Roman" w:eastAsia="仿宋" w:cs="Times New Roman"/>
                      <w:kern w:val="0"/>
                      <w:szCs w:val="21"/>
                      <w:vertAlign w:val="baseline"/>
                      <w:lang w:val="en-US" w:eastAsia="zh-CN"/>
                    </w:rPr>
                    <w:t>＋活性炭吸附装置处理（处理效率90%）后由15m高1#排气筒排放，采用两种处理措施进行处理。</w:t>
                  </w:r>
                </w:p>
              </w:tc>
              <w:tc>
                <w:tcPr>
                  <w:tcW w:w="5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《挥发性有机物无组织排放控制标准 》（GB 37822—2019）</w:t>
                  </w:r>
                </w:p>
              </w:tc>
              <w:tc>
                <w:tcPr>
                  <w:tcW w:w="4305" w:type="dxa"/>
                  <w:tcBorders>
                    <w:tl2br w:val="nil"/>
                    <w:tr2bl w:val="nil"/>
                  </w:tcBorders>
                  <w:vAlign w:val="center"/>
                </w:tcPr>
                <w:p>
                  <w:pPr>
                    <w:pStyle w:val="2"/>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7.2.1 VOCs质量占比大于等于10%的含VOCs产品，其使用过程应采用密闭设备或在密闭空间内操作，废气应排至VOCs废气收集处理系统；无法密闭的，应采取局部气体收集措施，废气应排至VOCs废气收集处理系统。</w:t>
                  </w:r>
                </w:p>
                <w:p>
                  <w:pPr>
                    <w:pStyle w:val="2"/>
                    <w:rPr>
                      <w:rFonts w:hint="eastAsia" w:eastAsia="仿宋" w:cs="Times New Roman"/>
                      <w:kern w:val="0"/>
                      <w:szCs w:val="21"/>
                      <w:vertAlign w:val="baseline"/>
                      <w:lang w:val="en-US" w:eastAsia="zh-CN"/>
                    </w:rPr>
                  </w:pPr>
                  <w:r>
                    <w:rPr>
                      <w:rFonts w:hint="default" w:ascii="Times New Roman" w:hAnsi="Times New Roman" w:eastAsia="仿宋" w:cs="Times New Roman"/>
                      <w:sz w:val="21"/>
                      <w:szCs w:val="21"/>
                      <w:lang w:val="en-US" w:eastAsia="zh-CN"/>
                    </w:rPr>
                    <w:t>7.2.2有机聚合物产品用于制品生产的过程，在混合/混炼、塑炼/塑化/熔化、加工成型(挤出、注射、压制、压延、发泡、纺丝等)等作业中应采用密闭设备或在密闭空间内操作，废气应排至VOCs废气收集处理系统；无法密闭的，应采取局部气体收集措施，废气应排至VOCs废气收集处理系统</w:t>
                  </w:r>
                  <w:r>
                    <w:rPr>
                      <w:rFonts w:hint="default" w:ascii="Times New Roman" w:hAnsi="Times New Roman" w:eastAsia="仿宋" w:cs="Times New Roman"/>
                      <w:lang w:val="en-US" w:eastAsia="zh-CN"/>
                    </w:rPr>
                    <w:t>。</w:t>
                  </w:r>
                </w:p>
              </w:tc>
              <w:tc>
                <w:tcPr>
                  <w:tcW w:w="174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color w:val="auto"/>
                      <w:kern w:val="0"/>
                      <w:sz w:val="21"/>
                      <w:szCs w:val="21"/>
                      <w:vertAlign w:val="baseline"/>
                      <w:lang w:val="en-US" w:eastAsia="zh-CN"/>
                    </w:rPr>
                    <w:t>生产车间</w:t>
                  </w:r>
                  <w:r>
                    <w:rPr>
                      <w:rFonts w:hint="default" w:ascii="Times New Roman" w:hAnsi="Times New Roman" w:eastAsia="仿宋" w:cs="Times New Roman"/>
                      <w:color w:val="auto"/>
                      <w:kern w:val="0"/>
                      <w:sz w:val="21"/>
                      <w:szCs w:val="21"/>
                      <w:vertAlign w:val="baseline"/>
                      <w:lang w:val="en-US" w:eastAsia="zh-CN"/>
                    </w:rPr>
                    <w:t>生产过程中产生的有机废气</w:t>
                  </w:r>
                  <w:r>
                    <w:rPr>
                      <w:rFonts w:hint="eastAsia" w:eastAsia="仿宋" w:cs="Times New Roman"/>
                      <w:color w:val="auto"/>
                      <w:kern w:val="0"/>
                      <w:sz w:val="21"/>
                      <w:szCs w:val="21"/>
                      <w:vertAlign w:val="baseline"/>
                      <w:lang w:val="en-US" w:eastAsia="zh-CN"/>
                    </w:rPr>
                    <w:t>经集气罩</w:t>
                  </w:r>
                  <w:r>
                    <w:rPr>
                      <w:rFonts w:hint="default" w:ascii="Times New Roman" w:hAnsi="Times New Roman" w:eastAsia="仿宋" w:cs="Times New Roman"/>
                      <w:color w:val="auto"/>
                      <w:kern w:val="0"/>
                      <w:sz w:val="21"/>
                      <w:szCs w:val="21"/>
                      <w:vertAlign w:val="baseline"/>
                      <w:lang w:val="en-US" w:eastAsia="zh-CN"/>
                    </w:rPr>
                    <w:t>收集后经</w:t>
                  </w:r>
                  <w:r>
                    <w:rPr>
                      <w:rFonts w:hint="eastAsia" w:ascii="Times New Roman" w:hAnsi="Times New Roman" w:eastAsia="仿宋" w:cs="Times New Roman"/>
                      <w:color w:val="auto"/>
                      <w:kern w:val="0"/>
                      <w:sz w:val="21"/>
                      <w:szCs w:val="21"/>
                      <w:vertAlign w:val="baseline"/>
                      <w:lang w:val="en-US" w:eastAsia="zh-CN"/>
                    </w:rPr>
                    <w:t>UV</w:t>
                  </w:r>
                  <w:r>
                    <w:rPr>
                      <w:rFonts w:hint="default" w:ascii="Times New Roman" w:hAnsi="Times New Roman" w:eastAsia="仿宋" w:cs="Times New Roman"/>
                      <w:color w:val="auto"/>
                      <w:kern w:val="0"/>
                      <w:sz w:val="21"/>
                      <w:szCs w:val="21"/>
                      <w:vertAlign w:val="baseline"/>
                      <w:lang w:val="en-US" w:eastAsia="zh-CN"/>
                    </w:rPr>
                    <w:t>光氧</w:t>
                  </w:r>
                  <w:r>
                    <w:rPr>
                      <w:rFonts w:hint="eastAsia" w:ascii="Times New Roman" w:hAnsi="Times New Roman" w:eastAsia="仿宋" w:cs="Times New Roman"/>
                      <w:color w:val="auto"/>
                      <w:kern w:val="0"/>
                      <w:sz w:val="21"/>
                      <w:szCs w:val="21"/>
                      <w:vertAlign w:val="baseline"/>
                      <w:lang w:val="en-US" w:eastAsia="zh-CN"/>
                    </w:rPr>
                    <w:t>化</w:t>
                  </w:r>
                  <w:r>
                    <w:rPr>
                      <w:rFonts w:hint="default" w:ascii="Times New Roman" w:hAnsi="Times New Roman" w:eastAsia="仿宋" w:cs="Times New Roman"/>
                      <w:color w:val="auto"/>
                      <w:kern w:val="0"/>
                      <w:sz w:val="21"/>
                      <w:szCs w:val="21"/>
                      <w:vertAlign w:val="baseline"/>
                      <w:lang w:val="en-US" w:eastAsia="zh-CN"/>
                    </w:rPr>
                    <w:t>+活性炭吸附装置处理后经15米高1#排气筒排放</w:t>
                  </w:r>
                  <w:r>
                    <w:rPr>
                      <w:rFonts w:hint="eastAsia" w:ascii="Times New Roman" w:hAnsi="Times New Roman" w:eastAsia="仿宋" w:cs="Times New Roman"/>
                      <w:color w:val="auto"/>
                      <w:kern w:val="0"/>
                      <w:sz w:val="21"/>
                      <w:szCs w:val="21"/>
                      <w:vertAlign w:val="baseline"/>
                      <w:lang w:val="en-US" w:eastAsia="zh-CN"/>
                    </w:rPr>
                    <w:t>。</w:t>
                  </w:r>
                </w:p>
              </w:tc>
              <w:tc>
                <w:tcPr>
                  <w:tcW w:w="5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符合</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0" w:firstLineChars="0"/>
              <w:jc w:val="both"/>
              <w:textAlignment w:val="auto"/>
              <w:rPr>
                <w:rFonts w:hint="eastAsia" w:eastAsia="仿宋" w:cs="Times New Roman"/>
                <w:color w:val="auto"/>
                <w:kern w:val="0"/>
                <w:sz w:val="24"/>
                <w:szCs w:val="24"/>
                <w:lang w:val="en-US" w:eastAsia="zh-CN"/>
              </w:rPr>
            </w:pPr>
            <w:r>
              <w:rPr>
                <w:rFonts w:hint="eastAsia" w:eastAsia="仿宋" w:cs="Times New Roman"/>
                <w:color w:val="auto"/>
                <w:kern w:val="0"/>
                <w:sz w:val="24"/>
                <w:szCs w:val="24"/>
                <w:lang w:val="en-US" w:eastAsia="zh-CN"/>
              </w:rPr>
              <w:t>3.与《省生态环境厅关于进一步加强建设项目环评审批和服务工作的指导意见》（苏环办〔2020〕225号）相符性相符性分析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0" w:firstLineChars="0"/>
              <w:jc w:val="center"/>
              <w:textAlignment w:val="auto"/>
              <w:rPr>
                <w:rFonts w:hint="eastAsia" w:eastAsia="仿宋" w:cs="Times New Roman"/>
                <w:color w:val="auto"/>
                <w:kern w:val="0"/>
                <w:sz w:val="24"/>
                <w:szCs w:val="24"/>
                <w:lang w:val="en-US" w:eastAsia="zh-CN"/>
              </w:rPr>
            </w:pPr>
            <w:r>
              <w:rPr>
                <w:rFonts w:hint="default" w:ascii="Times New Roman" w:hAnsi="Times New Roman" w:eastAsia="仿宋" w:cs="Times New Roman"/>
                <w:b/>
                <w:bCs/>
                <w:color w:val="auto"/>
                <w:kern w:val="0"/>
                <w:sz w:val="24"/>
                <w:szCs w:val="24"/>
                <w:lang w:val="en-US" w:eastAsia="zh-CN"/>
              </w:rPr>
              <w:t>表1-</w:t>
            </w:r>
            <w:r>
              <w:rPr>
                <w:rFonts w:hint="eastAsia" w:eastAsia="仿宋" w:cs="Times New Roman"/>
                <w:b/>
                <w:bCs/>
                <w:color w:val="auto"/>
                <w:kern w:val="0"/>
                <w:sz w:val="24"/>
                <w:szCs w:val="24"/>
                <w:lang w:val="en-US" w:eastAsia="zh-CN"/>
              </w:rPr>
              <w:t>4</w:t>
            </w:r>
            <w:r>
              <w:rPr>
                <w:rFonts w:hint="default" w:ascii="Times New Roman" w:hAnsi="Times New Roman" w:eastAsia="仿宋" w:cs="Times New Roman"/>
                <w:b/>
                <w:bCs/>
                <w:color w:val="auto"/>
                <w:kern w:val="0"/>
                <w:sz w:val="24"/>
                <w:szCs w:val="24"/>
                <w:lang w:val="en-US" w:eastAsia="zh-CN"/>
              </w:rPr>
              <w:t xml:space="preserve"> 与苏环办〔2020〕225号文相符性分析</w:t>
            </w:r>
          </w:p>
          <w:tbl>
            <w:tblPr>
              <w:tblStyle w:val="18"/>
              <w:tblW w:w="4998" w:type="pct"/>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35"/>
              <w:gridCol w:w="3975"/>
              <w:gridCol w:w="1377"/>
              <w:gridCol w:w="80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91"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类别</w:t>
                  </w:r>
                </w:p>
              </w:tc>
              <w:tc>
                <w:tcPr>
                  <w:tcW w:w="2653"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文件要求（建设项目环评审批要点）</w:t>
                  </w:r>
                </w:p>
              </w:tc>
              <w:tc>
                <w:tcPr>
                  <w:tcW w:w="919"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FF0000"/>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项目</w:t>
                  </w:r>
                </w:p>
              </w:tc>
              <w:tc>
                <w:tcPr>
                  <w:tcW w:w="535"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是否相符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91"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严守生态环境质量底线</w:t>
                  </w:r>
                </w:p>
              </w:tc>
              <w:tc>
                <w:tcPr>
                  <w:tcW w:w="2653"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①建设项目所在区域环境质量未达到国家或地方环境质量标准，且项目拟采取的污染防治措施不能满足区域环境质量改善目标管理要求的，一律不得审批。</w:t>
                  </w:r>
                </w:p>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②加强规划环评与建设项目环评联动，对不符合规划环评结论及审查意见的项目环评，依法不予审批。规划所包含项目的环评内容，可根据规划环评结论和审查意见予以简化。</w:t>
                  </w:r>
                </w:p>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③切实加强区域环境容量、环境承载力研究，不得审批突破环境容量和环境承载力的建设项目。</w:t>
                  </w:r>
                </w:p>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④应将“三线一单”作为建设项目环评审批的重要依据，严格落实生态环境分区管控要求，从严把好环境准入关。</w:t>
                  </w:r>
                </w:p>
              </w:tc>
              <w:tc>
                <w:tcPr>
                  <w:tcW w:w="919"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①项目所在地为不达标区，该地区实施区域削减方案，项目建成后不会降低周围环境空气质量；②本项目区域尚未开展规划环评</w:t>
                  </w:r>
                </w:p>
              </w:tc>
              <w:tc>
                <w:tcPr>
                  <w:tcW w:w="535"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91"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严格重点行业环评审批</w:t>
                  </w:r>
                </w:p>
              </w:tc>
              <w:tc>
                <w:tcPr>
                  <w:tcW w:w="2653"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①对纳入重点行业清单的建设项目，不适用告知承诺制和简化环评内容等改革试点措施。</w:t>
                  </w:r>
                </w:p>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②重点行业清洁生产水平原则上应达国内先进以上水平，按照国家和省有关要求，执行超低排放或特别排放限值标准。</w:t>
                  </w:r>
                </w:p>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③严格执行《江苏省长江经济带发展负面清单实施细则(试行)》，禁止在合规园区外新建、扩建钢铁、石化、化工、焦化、建材、有色等行业中的高污染项目。禁止新建燃煤自备电厂。</w:t>
                  </w:r>
                </w:p>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④统筹推动沿江产业战略性转型和在沿海地区战略性布局，坚持“规划引领、指标从严、政策衔接、产业先进”，推进钢铁、化工、煤电等行业有序转移，优化产业布局、调整产业结构，推动绿色发展。</w:t>
                  </w:r>
                </w:p>
              </w:tc>
              <w:tc>
                <w:tcPr>
                  <w:tcW w:w="919"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①本项目为</w:t>
                  </w:r>
                  <w:r>
                    <w:rPr>
                      <w:rFonts w:hint="eastAsia" w:eastAsia="仿宋" w:cs="Times New Roman"/>
                      <w:color w:val="auto"/>
                      <w:sz w:val="21"/>
                      <w:szCs w:val="21"/>
                      <w:highlight w:val="none"/>
                      <w:vertAlign w:val="baseline"/>
                      <w:lang w:val="en-US" w:eastAsia="zh-CN"/>
                    </w:rPr>
                    <w:t>热处理加工生产</w:t>
                  </w:r>
                  <w:r>
                    <w:rPr>
                      <w:rFonts w:hint="default" w:ascii="Times New Roman" w:hAnsi="Times New Roman" w:eastAsia="仿宋" w:cs="Times New Roman"/>
                      <w:color w:val="auto"/>
                      <w:sz w:val="21"/>
                      <w:szCs w:val="21"/>
                      <w:highlight w:val="none"/>
                      <w:vertAlign w:val="baseline"/>
                      <w:lang w:val="en-US" w:eastAsia="zh-CN"/>
                    </w:rPr>
                    <w:t>项目，不属于重点行业</w:t>
                  </w:r>
                  <w:r>
                    <w:rPr>
                      <w:rFonts w:hint="eastAsia" w:eastAsia="仿宋" w:cs="Times New Roman"/>
                      <w:color w:val="auto"/>
                      <w:sz w:val="21"/>
                      <w:szCs w:val="21"/>
                      <w:highlight w:val="none"/>
                      <w:vertAlign w:val="baseline"/>
                      <w:lang w:val="en-US" w:eastAsia="zh-CN"/>
                    </w:rPr>
                    <w:t>；</w:t>
                  </w:r>
                  <w:r>
                    <w:rPr>
                      <w:rFonts w:hint="default" w:ascii="Times New Roman" w:hAnsi="Times New Roman" w:eastAsia="仿宋" w:cs="Times New Roman"/>
                      <w:color w:val="auto"/>
                      <w:sz w:val="21"/>
                      <w:szCs w:val="21"/>
                      <w:highlight w:val="none"/>
                      <w:vertAlign w:val="baseline"/>
                      <w:lang w:val="en-US" w:eastAsia="zh-CN"/>
                    </w:rPr>
                    <w:t>②本项目不属于钢铁、石化、化工、焦化、建材、有色等行业中的高污染项目。</w:t>
                  </w:r>
                </w:p>
              </w:tc>
              <w:tc>
                <w:tcPr>
                  <w:tcW w:w="535"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91"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优化重大项目环评审批</w:t>
                  </w:r>
                </w:p>
              </w:tc>
              <w:tc>
                <w:tcPr>
                  <w:tcW w:w="2653"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ind w:left="0" w:leftChars="0" w:firstLine="0" w:firstLineChars="0"/>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①对国家、省、市级和外商投资重大项目，实行清单化管理。对纳入清单的项目，主动服务、提前介入，全程做好政策咨询和环评技术指导。</w:t>
                  </w:r>
                </w:p>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ind w:left="0" w:leftChars="0" w:firstLine="0" w:firstLineChars="0"/>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②对重大基础设施、民生工程、战略新兴产业和重大产业布局等项目，开通环评审批“绿色通道”，实行受理、公示、评估、审查“四同步”，加速项目落地建设。</w:t>
                  </w:r>
                </w:p>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ind w:left="0" w:leftChars="0" w:firstLine="0" w:firstLineChars="0"/>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③推动区域污染物排放深度减排和内部挖潜，腾出的排放指标优先用于优质重大项目建设。指导排污权交易，拓宽重大项目排放指标来源。</w:t>
                  </w:r>
                </w:p>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ind w:left="0" w:leftChars="0" w:firstLine="0" w:firstLineChars="0"/>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④经论证确实无法避让国家级生态保护红线的重大项目，应依法履行相关程序，且采取无害化的方式，强化减缓生态环境影响和补偿措施。</w:t>
                  </w:r>
                </w:p>
              </w:tc>
              <w:tc>
                <w:tcPr>
                  <w:tcW w:w="919"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FF0000"/>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①本项目不属于国家、省、市级和外商投资重大项目</w:t>
                  </w:r>
                  <w:r>
                    <w:rPr>
                      <w:rFonts w:hint="eastAsia" w:eastAsia="仿宋" w:cs="Times New Roman"/>
                      <w:color w:val="auto"/>
                      <w:sz w:val="21"/>
                      <w:szCs w:val="21"/>
                      <w:highlight w:val="none"/>
                      <w:vertAlign w:val="baseline"/>
                      <w:lang w:val="en-US" w:eastAsia="zh-CN"/>
                    </w:rPr>
                    <w:t>；</w:t>
                  </w:r>
                  <w:r>
                    <w:rPr>
                      <w:rFonts w:hint="default" w:ascii="Times New Roman" w:hAnsi="Times New Roman" w:eastAsia="仿宋" w:cs="Times New Roman"/>
                      <w:color w:val="auto"/>
                      <w:sz w:val="21"/>
                      <w:szCs w:val="21"/>
                      <w:highlight w:val="none"/>
                      <w:vertAlign w:val="baseline"/>
                      <w:lang w:val="en-US" w:eastAsia="zh-CN"/>
                    </w:rPr>
                    <w:t>②本项目不在生态保护红线范围内。</w:t>
                  </w:r>
                </w:p>
              </w:tc>
              <w:tc>
                <w:tcPr>
                  <w:tcW w:w="535"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91"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认真落实环评审批正面清单</w:t>
                  </w:r>
                </w:p>
              </w:tc>
              <w:tc>
                <w:tcPr>
                  <w:tcW w:w="2653"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ind w:left="0" w:leftChars="0" w:firstLine="0" w:firstLineChars="0"/>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①纳入生态环境部“正面清单”中环评豁免范围的建设项目，全部实行环评豁免，无须办理环评手续。</w:t>
                  </w:r>
                </w:p>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ind w:left="0" w:leftChars="0" w:firstLine="0" w:firstLineChars="0"/>
                    <w:jc w:val="left"/>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②纳入《江苏省建设项目环评告知承诺制审批改革试点工作实施方案》(苏环办[2020]155号)的建设项目，原则上实行环评告知承诺制审批。但对于穿(跨)越或涉及国家级生态保护红线和省生态空间管控区域的、未取得主要污染物排放总量指标的、年产生危险废物100吨以上的建设项目，不适用告知承诺制。</w:t>
                  </w:r>
                </w:p>
              </w:tc>
              <w:tc>
                <w:tcPr>
                  <w:tcW w:w="919"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FF0000"/>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①本项目不属于“正面清单”及“告知承诺制”项目。</w:t>
                  </w:r>
                </w:p>
              </w:tc>
              <w:tc>
                <w:tcPr>
                  <w:tcW w:w="535"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3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kern w:val="0"/>
                      <w:sz w:val="21"/>
                      <w:szCs w:val="21"/>
                      <w:vertAlign w:val="baseline"/>
                      <w:lang w:val="en-US" w:eastAsia="zh-CN"/>
                    </w:rPr>
                    <w:t>《市生态环境局关于建设项目的审批指导意见》</w:t>
                  </w:r>
                </w:p>
              </w:tc>
              <w:tc>
                <w:tcPr>
                  <w:tcW w:w="3976" w:type="dxa"/>
                  <w:tcBorders>
                    <w:tl2br w:val="nil"/>
                    <w:tr2bl w:val="nil"/>
                  </w:tcBorders>
                  <w:noWrap w:val="0"/>
                  <w:vAlign w:val="center"/>
                </w:tcPr>
                <w:p>
                  <w:pPr>
                    <w:pStyle w:val="4"/>
                    <w:numPr>
                      <w:ilvl w:val="2"/>
                      <w:numId w:val="0"/>
                    </w:numPr>
                    <w:ind w:left="0" w:leftChars="0" w:firstLine="0" w:firstLineChars="0"/>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vertAlign w:val="baseline"/>
                      <w:lang w:val="en-US" w:eastAsia="zh-CN" w:bidi="ar-SA"/>
                    </w:rPr>
                    <w:t>1.严格项目总量。实施建设项目大气污染物总量负增长原则，即重点区域内建设项目使用大气污染物总量，原则上在重点区域范围内实施总量平衡，且必须实行总量2倍减量替代。</w:t>
                  </w:r>
                </w:p>
              </w:tc>
              <w:tc>
                <w:tcPr>
                  <w:tcW w:w="1377" w:type="dxa"/>
                  <w:tcBorders>
                    <w:tl2br w:val="nil"/>
                    <w:tr2bl w:val="nil"/>
                  </w:tcBorders>
                  <w:noWrap w:val="0"/>
                  <w:vAlign w:val="center"/>
                </w:tcPr>
                <w:p>
                  <w:pPr>
                    <w:pStyle w:val="4"/>
                    <w:numPr>
                      <w:ilvl w:val="2"/>
                      <w:numId w:val="0"/>
                    </w:numPr>
                    <w:ind w:left="0" w:leftChars="0" w:firstLine="0" w:firstLineChars="0"/>
                    <w:rPr>
                      <w:rFonts w:hint="default" w:ascii="Times New Roman" w:hAnsi="Times New Roman" w:eastAsia="仿宋" w:cs="Times New Roman"/>
                      <w:color w:val="auto"/>
                      <w:sz w:val="21"/>
                      <w:szCs w:val="21"/>
                      <w:highlight w:val="none"/>
                      <w:vertAlign w:val="baseline"/>
                      <w:lang w:val="en-US" w:eastAsia="zh-CN"/>
                    </w:rPr>
                  </w:pPr>
                  <w:r>
                    <w:rPr>
                      <w:rFonts w:hint="eastAsia" w:cs="Times New Roman"/>
                      <w:b w:val="0"/>
                      <w:bCs w:val="0"/>
                      <w:color w:val="auto"/>
                      <w:sz w:val="21"/>
                      <w:szCs w:val="21"/>
                      <w:lang w:val="en-US" w:eastAsia="zh-CN"/>
                    </w:rPr>
                    <w:t>本项目距离最近的经开区国控站点7.07km，不在大气质量国控站点周边三公里范围，无需实行总量2倍减量替代</w:t>
                  </w:r>
                </w:p>
              </w:tc>
              <w:tc>
                <w:tcPr>
                  <w:tcW w:w="80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kern w:val="0"/>
                      <w:sz w:val="21"/>
                      <w:szCs w:val="21"/>
                      <w:vertAlign w:val="baseline"/>
                      <w:lang w:val="en-US" w:eastAsia="zh-CN"/>
                    </w:rPr>
                    <w:t>符合</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default" w:ascii="Times New Roman" w:hAnsi="Times New Roman" w:eastAsia="仿宋" w:cs="Times New Roman"/>
                <w:kern w:val="0"/>
                <w:sz w:val="24"/>
                <w:szCs w:val="24"/>
                <w:lang w:val="en-US" w:eastAsia="zh-CN"/>
              </w:rPr>
            </w:pPr>
            <w:r>
              <w:rPr>
                <w:rFonts w:hint="eastAsia" w:eastAsia="仿宋" w:cs="Times New Roman"/>
                <w:kern w:val="0"/>
                <w:sz w:val="24"/>
                <w:szCs w:val="24"/>
                <w:lang w:val="en-US" w:eastAsia="zh-CN"/>
              </w:rPr>
              <w:t>4</w:t>
            </w:r>
            <w:r>
              <w:rPr>
                <w:rFonts w:hint="default" w:ascii="Times New Roman" w:hAnsi="Times New Roman" w:eastAsia="仿宋" w:cs="Times New Roman"/>
                <w:kern w:val="0"/>
                <w:sz w:val="24"/>
                <w:szCs w:val="24"/>
                <w:lang w:val="en-US" w:eastAsia="zh-CN"/>
              </w:rPr>
              <w:t>.与《省生态环境厅关于进一步做好建设项目环评审批工作的通知》（苏环办〔2019〕36号）相符性相符性分析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表1-4 与苏环办〔2019〕36号文相符性分析</w:t>
            </w:r>
          </w:p>
          <w:tbl>
            <w:tblPr>
              <w:tblStyle w:val="18"/>
              <w:tblW w:w="7558" w:type="dxa"/>
              <w:tblInd w:w="-5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3363"/>
              <w:gridCol w:w="2090"/>
              <w:gridCol w:w="6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95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内容</w:t>
                  </w:r>
                </w:p>
              </w:tc>
              <w:tc>
                <w:tcPr>
                  <w:tcW w:w="222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文件要求</w:t>
                  </w:r>
                </w:p>
              </w:tc>
              <w:tc>
                <w:tcPr>
                  <w:tcW w:w="138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w:t>
                  </w:r>
                </w:p>
              </w:tc>
              <w:tc>
                <w:tcPr>
                  <w:tcW w:w="44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是否相符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4" w:hRule="atLeast"/>
              </w:trPr>
              <w:tc>
                <w:tcPr>
                  <w:tcW w:w="95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《建设项目环境保护管理条例》</w:t>
                  </w:r>
                </w:p>
              </w:tc>
              <w:tc>
                <w:tcPr>
                  <w:tcW w:w="222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有下列情形之一的，不予批准：（1）建设项目类型及其选址、布局、规模等不符合环境保护法律法规和相关法定规划；（2）所在区域环境质量未达到国家或者地方环境质量标准，且建设项目拟采取的措施不能满足区域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138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（1）建设项目类型及其选址、布局、规模等符合环境保护法律法规和相关法定规划，本项目为模具、金属部件</w:t>
                  </w:r>
                  <w:r>
                    <w:rPr>
                      <w:rFonts w:hint="eastAsia" w:eastAsia="仿宋" w:cs="Times New Roman"/>
                      <w:kern w:val="0"/>
                      <w:szCs w:val="21"/>
                      <w:vertAlign w:val="baseline"/>
                      <w:lang w:val="en-US" w:eastAsia="zh-CN"/>
                    </w:rPr>
                    <w:t>热处理</w:t>
                  </w:r>
                  <w:r>
                    <w:rPr>
                      <w:rFonts w:hint="default" w:ascii="Times New Roman" w:hAnsi="Times New Roman" w:eastAsia="仿宋" w:cs="Times New Roman"/>
                      <w:kern w:val="0"/>
                      <w:szCs w:val="21"/>
                      <w:vertAlign w:val="baseline"/>
                      <w:lang w:val="en-US" w:eastAsia="zh-CN"/>
                    </w:rPr>
                    <w:t>加工项目，位于天宁区郑陆镇，符合相关规定；（2）项目所在地天宁区为环境质量不达标区</w:t>
                  </w:r>
                  <w:r>
                    <w:rPr>
                      <w:rFonts w:hint="eastAsia" w:eastAsia="仿宋" w:cs="Times New Roman"/>
                      <w:kern w:val="0"/>
                      <w:szCs w:val="21"/>
                      <w:vertAlign w:val="baseline"/>
                      <w:lang w:val="en-US" w:eastAsia="zh-CN"/>
                    </w:rPr>
                    <w:t>，本项目不排放不达标因子</w:t>
                  </w:r>
                  <w:r>
                    <w:rPr>
                      <w:rFonts w:hint="default" w:ascii="Times New Roman" w:hAnsi="Times New Roman" w:eastAsia="仿宋" w:cs="Times New Roman"/>
                      <w:kern w:val="0"/>
                      <w:szCs w:val="21"/>
                      <w:vertAlign w:val="baseline"/>
                      <w:lang w:val="en-US" w:eastAsia="zh-CN"/>
                    </w:rPr>
                    <w:t>；（3）建设项目采取的污染防治措施确保污染物排放达到国家和地方排放标准。</w:t>
                  </w:r>
                  <w:r>
                    <w:rPr>
                      <w:rFonts w:hint="eastAsia" w:eastAsia="仿宋" w:cs="Times New Roman"/>
                      <w:kern w:val="0"/>
                      <w:szCs w:val="21"/>
                      <w:vertAlign w:val="baseline"/>
                      <w:lang w:val="en-US" w:eastAsia="zh-CN"/>
                    </w:rPr>
                    <w:t>（4）本项目为搬迁项目，不属于改扩建项目。</w:t>
                  </w:r>
                </w:p>
              </w:tc>
              <w:tc>
                <w:tcPr>
                  <w:tcW w:w="44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3" w:hRule="atLeast"/>
              </w:trPr>
              <w:tc>
                <w:tcPr>
                  <w:tcW w:w="95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《农用地土壤环境管理办法（试行）》（环境保</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护部农业部令第 46号）</w:t>
                  </w:r>
                </w:p>
              </w:tc>
              <w:tc>
                <w:tcPr>
                  <w:tcW w:w="222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38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本项目不属于有色金属冶炼、石油加工、化工、焦化、电镀、制革等行业企业。</w:t>
                  </w:r>
                </w:p>
              </w:tc>
              <w:tc>
                <w:tcPr>
                  <w:tcW w:w="44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5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《关于印发&lt;建设项目主要污染物排放总量指标审核及管理暂行办法&gt;的</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通知》（环发〔2014〕197 号）</w:t>
                  </w:r>
                </w:p>
              </w:tc>
              <w:tc>
                <w:tcPr>
                  <w:tcW w:w="222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38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在环境影响评价文件审批前，取得主要污染物排放总量指标。</w:t>
                  </w:r>
                </w:p>
              </w:tc>
              <w:tc>
                <w:tcPr>
                  <w:tcW w:w="44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33" w:hRule="atLeast"/>
              </w:trPr>
              <w:tc>
                <w:tcPr>
                  <w:tcW w:w="95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《关于以改善环境质量为核心加强环境影响评价管理的通知》（环环评〔2016〕150号）</w:t>
                  </w:r>
                </w:p>
              </w:tc>
              <w:tc>
                <w:tcPr>
                  <w:tcW w:w="222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38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（1）本项目</w:t>
                  </w:r>
                  <w:r>
                    <w:rPr>
                      <w:rFonts w:hint="eastAsia" w:eastAsia="仿宋" w:cs="Times New Roman"/>
                      <w:kern w:val="0"/>
                      <w:szCs w:val="21"/>
                      <w:vertAlign w:val="baseline"/>
                      <w:lang w:val="en-US" w:eastAsia="zh-CN"/>
                    </w:rPr>
                    <w:t>所在</w:t>
                  </w:r>
                  <w:r>
                    <w:rPr>
                      <w:rFonts w:hint="default" w:ascii="Times New Roman" w:hAnsi="Times New Roman" w:eastAsia="仿宋" w:cs="Times New Roman"/>
                      <w:kern w:val="0"/>
                      <w:szCs w:val="21"/>
                      <w:vertAlign w:val="baseline"/>
                      <w:lang w:val="en-US" w:eastAsia="zh-CN"/>
                    </w:rPr>
                    <w:t>区域尚未开展规划环评。（2）项目所在地天宁区为不达标区，该地区实施区域削减方案，淬火、回火产生的非甲烷总烃利用集气罩（收集效率90%）收集后经</w:t>
                  </w:r>
                  <w:r>
                    <w:rPr>
                      <w:rFonts w:hint="eastAsia" w:eastAsia="仿宋" w:cs="Times New Roman"/>
                      <w:kern w:val="0"/>
                      <w:szCs w:val="21"/>
                      <w:vertAlign w:val="baseline"/>
                      <w:lang w:val="en-US" w:eastAsia="zh-CN"/>
                    </w:rPr>
                    <w:t>UV光氧化</w:t>
                  </w:r>
                  <w:r>
                    <w:rPr>
                      <w:rFonts w:hint="default" w:ascii="Times New Roman" w:hAnsi="Times New Roman" w:eastAsia="仿宋" w:cs="Times New Roman"/>
                      <w:kern w:val="0"/>
                      <w:szCs w:val="21"/>
                      <w:vertAlign w:val="baseline"/>
                      <w:lang w:val="en-US" w:eastAsia="zh-CN"/>
                    </w:rPr>
                    <w:t>＋活性炭吸附装置处理（处理效率90%）后由15m高1#排气筒排放，采用两种处理措施进行处理。项目建成后，环境影响较小，不会降低周围环境空气质量。</w:t>
                  </w:r>
                </w:p>
              </w:tc>
              <w:tc>
                <w:tcPr>
                  <w:tcW w:w="44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6" w:hRule="atLeast"/>
              </w:trPr>
              <w:tc>
                <w:tcPr>
                  <w:tcW w:w="95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《关于全面加强生态环境保护坚决打好污染防治攻坚战的实施意见》（苏发〔2018〕24号）</w:t>
                  </w:r>
                </w:p>
              </w:tc>
              <w:tc>
                <w:tcPr>
                  <w:tcW w:w="222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38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本项目不在长江干流及主要支流岸线1公里范围内，本次新增项目为非化工项目。</w:t>
                  </w:r>
                </w:p>
              </w:tc>
              <w:tc>
                <w:tcPr>
                  <w:tcW w:w="44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3" w:hRule="atLeast"/>
              </w:trPr>
              <w:tc>
                <w:tcPr>
                  <w:tcW w:w="95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《江苏省打赢蓝天保卫战三年行动计划实施方案》（苏政发〔2018〕122号）</w:t>
                  </w:r>
                </w:p>
              </w:tc>
              <w:tc>
                <w:tcPr>
                  <w:tcW w:w="222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禁止建设生产和使用高VOCs含量的溶剂型涂料、油墨、胶粘剂等项目。</w:t>
                  </w:r>
                </w:p>
              </w:tc>
              <w:tc>
                <w:tcPr>
                  <w:tcW w:w="138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本项目生产过程不使用溶剂型涂料、油墨、胶粘剂等。</w:t>
                  </w:r>
                </w:p>
              </w:tc>
              <w:tc>
                <w:tcPr>
                  <w:tcW w:w="44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95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《省政府关于印发江苏省国家级生态保护红线规划的通知》（苏政发〔2018〕74号）</w:t>
                  </w:r>
                </w:p>
              </w:tc>
              <w:tc>
                <w:tcPr>
                  <w:tcW w:w="222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生态保护红线原则上按禁止开发区域的要求进行管理，严禁不符合主体功能定位的各类开发活动，严禁任意改变用途。</w:t>
                  </w:r>
                </w:p>
              </w:tc>
              <w:tc>
                <w:tcPr>
                  <w:tcW w:w="138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本项目生产过程不使用溶剂型涂料、油墨、胶粘剂等。</w:t>
                  </w:r>
                </w:p>
              </w:tc>
              <w:tc>
                <w:tcPr>
                  <w:tcW w:w="44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4" w:hRule="atLeast"/>
              </w:trPr>
              <w:tc>
                <w:tcPr>
                  <w:tcW w:w="95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《省政府办公厅关于加强危险废物污染防治工作的意见》（苏政办发〔2018〕91号）</w:t>
                  </w:r>
                </w:p>
              </w:tc>
              <w:tc>
                <w:tcPr>
                  <w:tcW w:w="222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禁止审批无法落实危险废物利用、处置途径的项目，从严审批危险废物产生量大、本地无配套利用处置能力、且需设区市统筹解决的项目。</w:t>
                  </w:r>
                </w:p>
              </w:tc>
              <w:tc>
                <w:tcPr>
                  <w:tcW w:w="138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本项目危险废物合理合法利用、处置。固废处置率100%，原有项目产生的危险废物已落实具体处理方式。</w:t>
                  </w:r>
                </w:p>
              </w:tc>
              <w:tc>
                <w:tcPr>
                  <w:tcW w:w="44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27" w:hRule="atLeast"/>
              </w:trPr>
              <w:tc>
                <w:tcPr>
                  <w:tcW w:w="95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《关于发布长江经济带发展负面清单指南（试行）的通知（推动长江经济带发展领导小组办公室文件第89号）</w:t>
                  </w:r>
                </w:p>
              </w:tc>
              <w:tc>
                <w:tcPr>
                  <w:tcW w:w="222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4）禁止在水产种质资源保护区的岸线和河段范围内新建排污口，以及围湖造田、围海造地或围填海等投资建设项目。禁止在国家湿地公园的岸线和河段范围内挖沙、采矿，以及任何不符合主体功能定位的投资建设项目。（5）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6）禁止在生态保护红线和永久基本农田范围内投资建设除国家重大战略资源勘查项目、生态保护修复和环境治理项目、重大基础设施项目、军事国防项目以及农牧民基本生产生活等必要的民生项目以外的项目。（7）禁止在长江干支流1公里范围内新建、扩建化工园区和化工项目。禁止在合规园区外新建、扩建钢铁、石化、化工、焦化、建材、有色等高污染项目。（8）禁止新建、扩建不符合国家石化、现代煤化工等产业布局规划的项目。（9）禁止新建、扩建法律法规和相关政策明令禁止的落后产能项目。（10）禁止新建、扩建不符合国家产能置换要求的严重过剩产能行业的项目。</w:t>
                  </w:r>
                </w:p>
              </w:tc>
              <w:tc>
                <w:tcPr>
                  <w:tcW w:w="138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本项目不属于《关于发布长江经济带发展负面清单指南（试行）的通知》（推动长江经济带发展领导小组办公室文件第89号）中“禁止类”项目</w:t>
                  </w:r>
                </w:p>
              </w:tc>
              <w:tc>
                <w:tcPr>
                  <w:tcW w:w="44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符合</w:t>
                  </w:r>
                </w:p>
              </w:tc>
            </w:tr>
          </w:tbl>
          <w:p>
            <w:pPr>
              <w:numPr>
                <w:ilvl w:val="-1"/>
                <w:numId w:val="0"/>
              </w:numPr>
              <w:spacing w:line="360" w:lineRule="auto"/>
              <w:ind w:firstLine="480" w:firstLineChars="200"/>
              <w:rPr>
                <w:rFonts w:hint="default" w:ascii="Times New Roman" w:hAnsi="Times New Roman" w:eastAsia="仿宋" w:cs="Times New Roman"/>
                <w:color w:val="000000" w:themeColor="text1"/>
                <w:sz w:val="24"/>
                <w:szCs w:val="24"/>
                <w:highlight w:val="none"/>
                <w14:textFill>
                  <w14:solidFill>
                    <w14:schemeClr w14:val="tx1"/>
                  </w14:solidFill>
                </w14:textFill>
              </w:rPr>
            </w:pPr>
            <w:r>
              <w:rPr>
                <w:rFonts w:hint="default" w:ascii="Times New Roman" w:hAnsi="Times New Roman" w:eastAsia="仿宋"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仿宋" w:cs="Times New Roman"/>
                <w:color w:val="000000" w:themeColor="text1"/>
                <w:sz w:val="24"/>
                <w:szCs w:val="24"/>
                <w:highlight w:val="none"/>
                <w14:textFill>
                  <w14:solidFill>
                    <w14:schemeClr w14:val="tx1"/>
                  </w14:solidFill>
                </w14:textFill>
              </w:rPr>
              <w:t>用地性质相符性</w:t>
            </w:r>
          </w:p>
          <w:p>
            <w:pPr>
              <w:spacing w:line="360" w:lineRule="auto"/>
              <w:ind w:firstLine="480" w:firstLineChars="200"/>
              <w:rPr>
                <w:rFonts w:hint="default" w:ascii="Times New Roman" w:hAnsi="Times New Roman" w:eastAsia="仿宋" w:cs="Times New Roman"/>
                <w:color w:val="000000" w:themeColor="text1"/>
                <w:sz w:val="24"/>
                <w:szCs w:val="24"/>
                <w:highlight w:val="none"/>
                <w14:textFill>
                  <w14:solidFill>
                    <w14:schemeClr w14:val="tx1"/>
                  </w14:solidFill>
                </w14:textFill>
              </w:rPr>
            </w:pPr>
            <w:r>
              <w:rPr>
                <w:rFonts w:hint="default" w:ascii="Times New Roman" w:hAnsi="Times New Roman" w:eastAsia="仿宋" w:cs="Times New Roman"/>
                <w:color w:val="000000" w:themeColor="text1"/>
                <w:sz w:val="24"/>
                <w:szCs w:val="24"/>
                <w:highlight w:val="none"/>
                <w14:textFill>
                  <w14:solidFill>
                    <w14:schemeClr w14:val="tx1"/>
                  </w14:solidFill>
                </w14:textFill>
              </w:rPr>
              <w:t>根据项目所在地</w:t>
            </w:r>
            <w:r>
              <w:rPr>
                <w:rFonts w:hint="eastAsia" w:eastAsia="仿宋" w:cs="Times New Roman"/>
                <w:color w:val="000000" w:themeColor="text1"/>
                <w:sz w:val="24"/>
                <w:szCs w:val="24"/>
                <w:highlight w:val="none"/>
                <w:lang w:val="en-US" w:eastAsia="zh-CN"/>
                <w14:textFill>
                  <w14:solidFill>
                    <w14:schemeClr w14:val="tx1"/>
                  </w14:solidFill>
                </w14:textFill>
              </w:rPr>
              <w:t>土地证</w:t>
            </w:r>
            <w:r>
              <w:rPr>
                <w:rFonts w:hint="default" w:ascii="Times New Roman" w:hAnsi="Times New Roman" w:eastAsia="仿宋" w:cs="Times New Roman"/>
                <w:color w:val="000000" w:themeColor="text1"/>
                <w:sz w:val="24"/>
                <w:szCs w:val="24"/>
                <w:highlight w:val="none"/>
                <w:lang w:val="en-US" w:eastAsia="zh-CN"/>
                <w14:textFill>
                  <w14:solidFill>
                    <w14:schemeClr w14:val="tx1"/>
                  </w14:solidFill>
                </w14:textFill>
              </w:rPr>
              <w:t>，武集用（2005）第1205952号</w:t>
            </w:r>
            <w:r>
              <w:rPr>
                <w:rFonts w:hint="default" w:ascii="Times New Roman" w:hAnsi="Times New Roman" w:eastAsia="仿宋" w:cs="Times New Roman"/>
                <w:color w:val="000000" w:themeColor="text1"/>
                <w:sz w:val="24"/>
                <w:szCs w:val="24"/>
                <w:highlight w:val="none"/>
                <w14:textFill>
                  <w14:solidFill>
                    <w14:schemeClr w14:val="tx1"/>
                  </w14:solidFill>
                </w14:textFill>
              </w:rPr>
              <w:t>，该地块属于</w:t>
            </w:r>
            <w:r>
              <w:rPr>
                <w:rFonts w:hint="default" w:ascii="Times New Roman" w:hAnsi="Times New Roman" w:eastAsia="仿宋" w:cs="Times New Roman"/>
                <w:color w:val="000000" w:themeColor="text1"/>
                <w:sz w:val="24"/>
                <w:szCs w:val="24"/>
                <w:highlight w:val="none"/>
                <w:lang w:val="en-US" w:eastAsia="zh-CN"/>
                <w14:textFill>
                  <w14:solidFill>
                    <w14:schemeClr w14:val="tx1"/>
                  </w14:solidFill>
                </w14:textFill>
              </w:rPr>
              <w:t>工业用地</w:t>
            </w:r>
            <w:r>
              <w:rPr>
                <w:rFonts w:hint="default" w:ascii="Times New Roman" w:hAnsi="Times New Roman" w:eastAsia="仿宋" w:cs="Times New Roman"/>
                <w:color w:val="000000" w:themeColor="text1"/>
                <w:sz w:val="24"/>
                <w:szCs w:val="24"/>
                <w:highlight w:val="none"/>
                <w14:textFill>
                  <w14:solidFill>
                    <w14:schemeClr w14:val="tx1"/>
                  </w14:solidFill>
                </w14:textFill>
              </w:rPr>
              <w:t>。</w:t>
            </w:r>
          </w:p>
          <w:p>
            <w:pPr>
              <w:spacing w:line="360" w:lineRule="auto"/>
              <w:ind w:firstLine="480" w:firstLineChars="200"/>
              <w:rPr>
                <w:rFonts w:hint="default" w:ascii="Times New Roman" w:hAnsi="Times New Roman" w:eastAsia="仿宋" w:cs="Times New Roman"/>
                <w:color w:val="000000" w:themeColor="text1"/>
                <w:sz w:val="24"/>
                <w:szCs w:val="24"/>
                <w:highlight w:val="none"/>
                <w14:textFill>
                  <w14:solidFill>
                    <w14:schemeClr w14:val="tx1"/>
                  </w14:solidFill>
                </w14:textFill>
              </w:rPr>
            </w:pPr>
            <w:r>
              <w:rPr>
                <w:rFonts w:hint="default" w:ascii="Times New Roman" w:hAnsi="Times New Roman" w:eastAsia="仿宋" w:cs="Times New Roman"/>
                <w:color w:val="000000" w:themeColor="text1"/>
                <w:sz w:val="24"/>
                <w:szCs w:val="24"/>
                <w:highlight w:val="none"/>
                <w14:textFill>
                  <w14:solidFill>
                    <w14:schemeClr w14:val="tx1"/>
                  </w14:solidFill>
                </w14:textFill>
              </w:rPr>
              <w:t>根据</w:t>
            </w:r>
            <w:r>
              <w:rPr>
                <w:rFonts w:hint="default" w:ascii="Times New Roman" w:hAnsi="Times New Roman" w:eastAsia="仿宋" w:cs="Times New Roman"/>
                <w:color w:val="000000" w:themeColor="text1"/>
                <w:sz w:val="24"/>
                <w:szCs w:val="24"/>
                <w:highlight w:val="none"/>
                <w:lang w:val="en-US" w:eastAsia="zh-CN"/>
                <w14:textFill>
                  <w14:solidFill>
                    <w14:schemeClr w14:val="tx1"/>
                  </w14:solidFill>
                </w14:textFill>
              </w:rPr>
              <w:t>天宁区</w:t>
            </w:r>
            <w:r>
              <w:rPr>
                <w:rFonts w:hint="eastAsia" w:eastAsia="仿宋" w:cs="Times New Roman"/>
                <w:color w:val="000000" w:themeColor="text1"/>
                <w:sz w:val="24"/>
                <w:szCs w:val="24"/>
                <w:highlight w:val="none"/>
                <w:lang w:val="en-US" w:eastAsia="zh-CN"/>
                <w14:textFill>
                  <w14:solidFill>
                    <w14:schemeClr w14:val="tx1"/>
                  </w14:solidFill>
                </w14:textFill>
              </w:rPr>
              <w:t>规</w:t>
            </w:r>
            <w:r>
              <w:rPr>
                <w:rFonts w:hint="default" w:ascii="Times New Roman" w:hAnsi="Times New Roman" w:eastAsia="仿宋" w:cs="Times New Roman"/>
                <w:color w:val="000000" w:themeColor="text1"/>
                <w:sz w:val="24"/>
                <w:szCs w:val="24"/>
                <w:highlight w:val="none"/>
                <w14:textFill>
                  <w14:solidFill>
                    <w14:schemeClr w14:val="tx1"/>
                  </w14:solidFill>
                </w14:textFill>
              </w:rPr>
              <w:t>划图，本项目所在地为</w:t>
            </w:r>
            <w:r>
              <w:rPr>
                <w:rFonts w:hint="eastAsia" w:eastAsia="仿宋" w:cs="Times New Roman"/>
                <w:color w:val="000000" w:themeColor="text1"/>
                <w:sz w:val="24"/>
                <w:szCs w:val="24"/>
                <w:highlight w:val="none"/>
                <w:lang w:val="en-US" w:eastAsia="zh-CN"/>
                <w14:textFill>
                  <w14:solidFill>
                    <w14:schemeClr w14:val="tx1"/>
                  </w14:solidFill>
                </w14:textFill>
              </w:rPr>
              <w:t>现状建设用地</w:t>
            </w:r>
            <w:r>
              <w:rPr>
                <w:rFonts w:hint="default" w:ascii="Times New Roman" w:hAnsi="Times New Roman" w:eastAsia="仿宋" w:cs="Times New Roman"/>
                <w:color w:val="000000" w:themeColor="text1"/>
                <w:sz w:val="24"/>
                <w:szCs w:val="24"/>
                <w:highlight w:val="none"/>
                <w14:textFill>
                  <w14:solidFill>
                    <w14:schemeClr w14:val="tx1"/>
                  </w14:solidFill>
                </w14:textFill>
              </w:rPr>
              <w:t>，因此，该项目用地性质符合要求。</w:t>
            </w:r>
          </w:p>
          <w:p>
            <w:pPr>
              <w:spacing w:line="360" w:lineRule="auto"/>
              <w:ind w:firstLine="480" w:firstLineChars="200"/>
              <w:rPr>
                <w:rFonts w:hint="default" w:ascii="Times New Roman" w:hAnsi="Times New Roman" w:eastAsia="仿宋" w:cs="Times New Roman"/>
                <w:color w:val="000000" w:themeColor="text1"/>
                <w:sz w:val="24"/>
                <w:szCs w:val="24"/>
                <w:highlight w:val="none"/>
                <w14:textFill>
                  <w14:solidFill>
                    <w14:schemeClr w14:val="tx1"/>
                  </w14:solidFill>
                </w14:textFill>
              </w:rPr>
            </w:pPr>
            <w:r>
              <w:rPr>
                <w:rFonts w:hint="default" w:ascii="Times New Roman" w:hAnsi="Times New Roman" w:eastAsia="仿宋" w:cs="Times New Roman"/>
                <w:color w:val="000000" w:themeColor="text1"/>
                <w:sz w:val="24"/>
                <w:szCs w:val="24"/>
                <w:highlight w:val="none"/>
                <w14:textFill>
                  <w14:solidFill>
                    <w14:schemeClr w14:val="tx1"/>
                  </w14:solidFill>
                </w14:textFill>
              </w:rPr>
              <w:t>本项目不属于《限制用地项目目录（2012年本）》和《禁止用地项目目录（2012年本）》中所规定的类别，不属于《江苏省限制用地项目目录（2013年本）》和《江苏省限制用地项目目录（2013年本）》中所规定的类别的项目。</w:t>
            </w:r>
          </w:p>
          <w:p>
            <w:pPr>
              <w:spacing w:line="360" w:lineRule="auto"/>
              <w:ind w:firstLine="480" w:firstLineChars="200"/>
              <w:rPr>
                <w:rFonts w:hint="default" w:ascii="Times New Roman" w:hAnsi="Times New Roman" w:eastAsia="仿宋" w:cs="Times New Roman"/>
                <w:color w:val="000000" w:themeColor="text1"/>
                <w:sz w:val="24"/>
                <w:szCs w:val="24"/>
                <w:highlight w:val="none"/>
                <w14:textFill>
                  <w14:solidFill>
                    <w14:schemeClr w14:val="tx1"/>
                  </w14:solidFill>
                </w14:textFill>
              </w:rPr>
            </w:pPr>
            <w:r>
              <w:rPr>
                <w:rFonts w:hint="default" w:ascii="Times New Roman" w:hAnsi="Times New Roman" w:eastAsia="仿宋" w:cs="Times New Roman"/>
                <w:color w:val="000000" w:themeColor="text1"/>
                <w:sz w:val="24"/>
                <w:szCs w:val="24"/>
                <w:highlight w:val="none"/>
                <w14:textFill>
                  <w14:solidFill>
                    <w14:schemeClr w14:val="tx1"/>
                  </w14:solidFill>
                </w14:textFill>
              </w:rPr>
              <w:t>对照《江苏省生态空间管控区域规划》（苏政发[2020]1号），本项目不在常州市生态空间保护区域国家级生态保护红线范围及生态空间管控区域范围内。对照《江苏省国家级生态保护红线规划》（苏政发[2018]74号），本项目不在江苏省陆域生态保护红线一级保护区、二级保护区内。</w:t>
            </w:r>
          </w:p>
          <w:p>
            <w:pPr>
              <w:widowControl w:val="0"/>
              <w:numPr>
                <w:ilvl w:val="0"/>
                <w:numId w:val="0"/>
              </w:numPr>
              <w:autoSpaceDE w:val="0"/>
              <w:autoSpaceDN w:val="0"/>
              <w:adjustRightInd w:val="0"/>
              <w:snapToGrid w:val="0"/>
              <w:jc w:val="both"/>
              <w:rPr>
                <w:rFonts w:hint="default" w:ascii="Times New Roman" w:hAnsi="Times New Roman" w:eastAsia="仿宋" w:cs="Times New Roman"/>
                <w:kern w:val="0"/>
                <w:szCs w:val="21"/>
                <w:lang w:val="en-US" w:eastAsia="zh-CN"/>
              </w:rPr>
            </w:pPr>
          </w:p>
          <w:p>
            <w:pPr>
              <w:widowControl w:val="0"/>
              <w:numPr>
                <w:ilvl w:val="0"/>
                <w:numId w:val="0"/>
              </w:numPr>
              <w:autoSpaceDE w:val="0"/>
              <w:autoSpaceDN w:val="0"/>
              <w:adjustRightInd w:val="0"/>
              <w:snapToGrid w:val="0"/>
              <w:jc w:val="both"/>
              <w:rPr>
                <w:rFonts w:hint="default" w:ascii="Times New Roman" w:hAnsi="Times New Roman" w:eastAsia="仿宋" w:cs="Times New Roman"/>
                <w:kern w:val="0"/>
                <w:szCs w:val="21"/>
                <w:lang w:val="en-US" w:eastAsia="zh-CN"/>
              </w:rPr>
            </w:pPr>
          </w:p>
          <w:p>
            <w:pPr>
              <w:widowControl w:val="0"/>
              <w:numPr>
                <w:ilvl w:val="0"/>
                <w:numId w:val="0"/>
              </w:numPr>
              <w:autoSpaceDE w:val="0"/>
              <w:autoSpaceDN w:val="0"/>
              <w:adjustRightInd w:val="0"/>
              <w:snapToGrid w:val="0"/>
              <w:jc w:val="both"/>
              <w:rPr>
                <w:rFonts w:hint="default" w:ascii="Times New Roman" w:hAnsi="Times New Roman" w:eastAsia="仿宋" w:cs="Times New Roman"/>
                <w:kern w:val="0"/>
                <w:szCs w:val="21"/>
                <w:lang w:val="en-US" w:eastAsia="zh-CN"/>
              </w:rPr>
            </w:pPr>
          </w:p>
          <w:p>
            <w:pPr>
              <w:widowControl w:val="0"/>
              <w:numPr>
                <w:ilvl w:val="0"/>
                <w:numId w:val="0"/>
              </w:numPr>
              <w:autoSpaceDE w:val="0"/>
              <w:autoSpaceDN w:val="0"/>
              <w:adjustRightInd w:val="0"/>
              <w:snapToGrid w:val="0"/>
              <w:jc w:val="both"/>
              <w:rPr>
                <w:rFonts w:hint="default" w:ascii="Times New Roman" w:hAnsi="Times New Roman" w:eastAsia="仿宋" w:cs="Times New Roman"/>
                <w:kern w:val="0"/>
                <w:szCs w:val="21"/>
                <w:lang w:val="en-US" w:eastAsia="zh-CN"/>
              </w:rPr>
            </w:pPr>
          </w:p>
        </w:tc>
      </w:tr>
    </w:tbl>
    <w:p>
      <w:pPr>
        <w:spacing w:line="360" w:lineRule="auto"/>
        <w:outlineLvl w:val="0"/>
        <w:rPr>
          <w:rFonts w:eastAsia="黑体"/>
          <w:sz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6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76" w:hRule="atLeast"/>
          <w:jc w:val="center"/>
        </w:trPr>
        <w:tc>
          <w:tcPr>
            <w:tcW w:w="823" w:type="dxa"/>
            <w:noWrap w:val="0"/>
            <w:vAlign w:val="center"/>
          </w:tcPr>
          <w:p>
            <w:pPr>
              <w:pStyle w:val="13"/>
              <w:adjustRightInd w:val="0"/>
              <w:snapToGrid w:val="0"/>
              <w:spacing w:before="0" w:beforeAutospacing="0" w:after="0" w:afterAutospacing="0"/>
              <w:jc w:val="center"/>
              <w:rPr>
                <w:rFonts w:cs="宋体"/>
                <w:sz w:val="21"/>
                <w:szCs w:val="21"/>
              </w:rPr>
            </w:pPr>
            <w:r>
              <w:rPr>
                <w:rFonts w:hint="eastAsia" w:ascii="仿宋" w:hAnsi="仿宋" w:eastAsia="仿宋" w:cs="仿宋"/>
                <w:sz w:val="21"/>
                <w:szCs w:val="21"/>
              </w:rPr>
              <w:t>建设内容</w:t>
            </w:r>
          </w:p>
        </w:tc>
        <w:tc>
          <w:tcPr>
            <w:tcW w:w="8161" w:type="dxa"/>
            <w:noWrap w:val="0"/>
            <w:vAlign w:val="top"/>
          </w:tcPr>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1.项目概况</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常州市常达利盛机械配件有限公司成立于1999年5月11日，位于常州市天宁区郑陆镇</w:t>
            </w:r>
            <w:r>
              <w:rPr>
                <w:rFonts w:hint="eastAsia" w:eastAsia="仿宋" w:cs="Times New Roman"/>
                <w:kern w:val="0"/>
                <w:sz w:val="24"/>
                <w:szCs w:val="24"/>
                <w:lang w:val="en-US" w:eastAsia="zh-CN"/>
              </w:rPr>
              <w:t>三皇村</w:t>
            </w:r>
            <w:r>
              <w:rPr>
                <w:rFonts w:hint="default" w:ascii="Times New Roman" w:hAnsi="Times New Roman" w:eastAsia="仿宋" w:cs="Times New Roman"/>
                <w:kern w:val="0"/>
                <w:sz w:val="24"/>
                <w:szCs w:val="24"/>
                <w:lang w:val="en-US" w:eastAsia="zh-CN"/>
              </w:rPr>
              <w:t>，经营范围包括机械配件、五金工具、刀具、塑料件制造、加工，柴油机配件淬火、模具淬火加工，金属材料销售；自有房屋租赁。</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原位于常州市天宁区郑陆镇东青个私工业园区，原有项目《常州市常达利盛机械配件厂淬火加工项目》，产品</w:t>
            </w:r>
            <w:r>
              <w:rPr>
                <w:rFonts w:hint="eastAsia" w:eastAsia="仿宋" w:cs="Times New Roman"/>
                <w:kern w:val="0"/>
                <w:sz w:val="24"/>
                <w:szCs w:val="24"/>
                <w:lang w:val="en-US" w:eastAsia="zh-CN"/>
              </w:rPr>
              <w:t>产能</w:t>
            </w:r>
            <w:r>
              <w:rPr>
                <w:rFonts w:hint="default" w:ascii="Times New Roman" w:hAnsi="Times New Roman" w:eastAsia="仿宋" w:cs="Times New Roman"/>
                <w:kern w:val="0"/>
                <w:sz w:val="24"/>
                <w:szCs w:val="24"/>
                <w:lang w:val="en-US" w:eastAsia="zh-CN"/>
              </w:rPr>
              <w:t>为柴油机配件淬火10万件/a、模具淬火100套/a，于2004年3月17日获得原常州市武进区环境保护局审批。并于2007年10月通过原武进区郑陆镇环境保护办公室建设项目环境保护验收。</w:t>
            </w:r>
          </w:p>
          <w:p>
            <w:pPr>
              <w:pStyle w:val="2"/>
              <w:spacing w:line="360" w:lineRule="auto"/>
              <w:ind w:firstLine="480" w:firstLineChars="200"/>
              <w:rPr>
                <w:rFonts w:hint="default" w:ascii="Times New Roman" w:hAnsi="Times New Roman" w:cs="Times New Roman"/>
                <w:lang w:val="en-US" w:eastAsia="zh-CN"/>
              </w:rPr>
            </w:pPr>
            <w:r>
              <w:rPr>
                <w:rFonts w:hint="eastAsia" w:ascii="Times New Roman" w:hAnsi="Times New Roman" w:eastAsia="仿宋" w:cs="Times New Roman"/>
                <w:kern w:val="0"/>
                <w:sz w:val="24"/>
                <w:szCs w:val="24"/>
                <w:lang w:val="en-US" w:eastAsia="zh-CN"/>
              </w:rPr>
              <w:t>企业</w:t>
            </w:r>
            <w:r>
              <w:rPr>
                <w:rFonts w:hint="default" w:ascii="Times New Roman" w:hAnsi="Times New Roman" w:eastAsia="仿宋" w:cs="Times New Roman"/>
                <w:kern w:val="0"/>
                <w:sz w:val="24"/>
                <w:szCs w:val="24"/>
                <w:lang w:val="en-US" w:eastAsia="zh-CN"/>
              </w:rPr>
              <w:t>于2016年8月编制</w:t>
            </w:r>
            <w:r>
              <w:rPr>
                <w:rFonts w:hint="eastAsia" w:ascii="Times New Roman" w:hAnsi="Times New Roman" w:eastAsia="仿宋" w:cs="Times New Roman"/>
                <w:kern w:val="0"/>
                <w:sz w:val="24"/>
                <w:szCs w:val="24"/>
                <w:lang w:val="en-US" w:eastAsia="zh-CN"/>
              </w:rPr>
              <w:t>“</w:t>
            </w:r>
            <w:r>
              <w:rPr>
                <w:rFonts w:hint="default" w:ascii="Times New Roman" w:hAnsi="Times New Roman" w:eastAsia="仿宋" w:cs="Times New Roman"/>
                <w:kern w:val="0"/>
                <w:sz w:val="24"/>
                <w:szCs w:val="24"/>
                <w:lang w:val="en-US" w:eastAsia="zh-CN"/>
              </w:rPr>
              <w:t>纳入环境保护管理登记建设项目自查评估报告</w:t>
            </w:r>
            <w:r>
              <w:rPr>
                <w:rFonts w:hint="eastAsia" w:ascii="Times New Roman" w:hAnsi="Times New Roman" w:eastAsia="仿宋" w:cs="Times New Roman"/>
                <w:kern w:val="0"/>
                <w:sz w:val="24"/>
                <w:szCs w:val="24"/>
                <w:lang w:val="en-US" w:eastAsia="zh-CN"/>
              </w:rPr>
              <w:t>”</w:t>
            </w:r>
            <w:r>
              <w:rPr>
                <w:rFonts w:hint="default" w:ascii="Times New Roman" w:hAnsi="Times New Roman" w:eastAsia="仿宋" w:cs="Times New Roman"/>
                <w:kern w:val="0"/>
                <w:sz w:val="24"/>
                <w:szCs w:val="24"/>
                <w:lang w:val="en-US" w:eastAsia="zh-CN"/>
              </w:rPr>
              <w:t>，产品产能为机械配件制造8万件/a，金属件表面淬火1000t/a</w:t>
            </w:r>
            <w:r>
              <w:rPr>
                <w:rFonts w:hint="eastAsia" w:ascii="Times New Roman" w:hAnsi="Times New Roman" w:eastAsia="仿宋" w:cs="Times New Roman"/>
                <w:kern w:val="0"/>
                <w:sz w:val="24"/>
                <w:szCs w:val="24"/>
                <w:lang w:val="en-US" w:eastAsia="zh-CN"/>
              </w:rPr>
              <w:t>，现已全部停产拆除</w:t>
            </w:r>
            <w:r>
              <w:rPr>
                <w:rFonts w:hint="default" w:ascii="Times New Roman" w:hAnsi="Times New Roman" w:eastAsia="仿宋" w:cs="Times New Roman"/>
                <w:kern w:val="0"/>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现拟投资300万元，搬迁至常州市天宁区郑陆镇三皇庙，租赁常州市华茂铸造有限公司房屋面积</w:t>
            </w:r>
            <w:r>
              <w:rPr>
                <w:rFonts w:hint="eastAsia" w:eastAsia="仿宋" w:cs="Times New Roman"/>
                <w:kern w:val="0"/>
                <w:sz w:val="24"/>
                <w:szCs w:val="24"/>
                <w:lang w:val="en-US" w:eastAsia="zh-CN"/>
              </w:rPr>
              <w:t>800</w:t>
            </w:r>
            <w:r>
              <w:rPr>
                <w:rFonts w:hint="default" w:ascii="Times New Roman" w:hAnsi="Times New Roman" w:eastAsia="仿宋" w:cs="Times New Roman"/>
                <w:kern w:val="0"/>
                <w:sz w:val="24"/>
                <w:szCs w:val="24"/>
                <w:lang w:val="en-US" w:eastAsia="zh-CN"/>
              </w:rPr>
              <w:t>平方米，购置网带炉2台、井式回火炉4台、井式淬火炉7台、箱式电阻炉3台、压床1台等设备</w:t>
            </w:r>
            <w:r>
              <w:rPr>
                <w:rFonts w:hint="eastAsia" w:eastAsia="仿宋" w:cs="Times New Roman"/>
                <w:kern w:val="0"/>
                <w:sz w:val="24"/>
                <w:szCs w:val="24"/>
                <w:lang w:val="en-US" w:eastAsia="zh-CN"/>
              </w:rPr>
              <w:t>，</w:t>
            </w:r>
            <w:r>
              <w:rPr>
                <w:rFonts w:hint="default" w:ascii="Times New Roman" w:hAnsi="Times New Roman" w:eastAsia="仿宋" w:cs="Times New Roman"/>
                <w:kern w:val="0"/>
                <w:sz w:val="24"/>
                <w:szCs w:val="24"/>
                <w:lang w:val="en-US" w:eastAsia="zh-CN"/>
              </w:rPr>
              <w:t>迁建成后可形成年加工500吨模具、金属零部件（不含铸件）的生产能力。</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建设单位于2020年7月2日取得常州市天宁区行政审批局出具的江苏省投资项目备案证（备案证号：常天行审备[2020]269号）。</w:t>
            </w:r>
          </w:p>
          <w:p>
            <w:pPr>
              <w:pStyle w:val="2"/>
              <w:spacing w:line="360" w:lineRule="auto"/>
              <w:ind w:firstLine="480" w:firstLineChars="20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根据《中华人民共和国环境影响评价法》等法律法规的有关规定，建设项目在实施前必须进行环境影响评价工作。根据建设项目环境影响分类管理名录（2021年版）中“67，金属表面处理机热处理加工”中的其他相关要求，本项目需要编制报告表，受常州市常达利盛机械配件有限公司委托，江苏金易惠环保科技有限公司承担该项目的环境影响评价工作。在现场踏勘、调查的基础上，通过对有关资料的收集、整理和分析计算，根据有关规范编制了该项目的环境影响报告表，报请审批。</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2.产品方案</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表2-1 产品方案一览表</w:t>
            </w:r>
          </w:p>
          <w:tbl>
            <w:tblPr>
              <w:tblStyle w:val="18"/>
              <w:tblW w:w="8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1321"/>
              <w:gridCol w:w="1060"/>
              <w:gridCol w:w="1109"/>
              <w:gridCol w:w="1109"/>
              <w:gridCol w:w="1110"/>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8"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序号</w:t>
                  </w:r>
                </w:p>
              </w:tc>
              <w:tc>
                <w:tcPr>
                  <w:tcW w:w="1321"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仿宋" w:cs="Times New Roman"/>
                      <w:b/>
                      <w:bCs/>
                      <w:color w:val="000000"/>
                      <w:kern w:val="0"/>
                      <w:sz w:val="21"/>
                      <w:szCs w:val="21"/>
                      <w:highlight w:val="none"/>
                      <w:lang w:eastAsia="zh-CN"/>
                    </w:rPr>
                  </w:pPr>
                  <w:r>
                    <w:rPr>
                      <w:rFonts w:hint="default" w:ascii="Times New Roman" w:hAnsi="Times New Roman" w:eastAsia="仿宋" w:cs="Times New Roman"/>
                      <w:b/>
                      <w:bCs/>
                      <w:color w:val="000000"/>
                      <w:kern w:val="0"/>
                      <w:sz w:val="21"/>
                      <w:szCs w:val="21"/>
                      <w:highlight w:val="none"/>
                    </w:rPr>
                    <w:t>产品</w:t>
                  </w:r>
                  <w:r>
                    <w:rPr>
                      <w:rFonts w:hint="eastAsia" w:eastAsia="仿宋" w:cs="Times New Roman"/>
                      <w:b/>
                      <w:bCs/>
                      <w:color w:val="000000"/>
                      <w:kern w:val="0"/>
                      <w:sz w:val="21"/>
                      <w:szCs w:val="21"/>
                      <w:highlight w:val="none"/>
                      <w:lang w:val="en-US" w:eastAsia="zh-CN"/>
                    </w:rPr>
                    <w:t>方案</w:t>
                  </w:r>
                </w:p>
              </w:tc>
              <w:tc>
                <w:tcPr>
                  <w:tcW w:w="1060"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b/>
                      <w:bCs/>
                      <w:color w:val="000000"/>
                      <w:kern w:val="0"/>
                      <w:sz w:val="21"/>
                      <w:szCs w:val="21"/>
                      <w:highlight w:val="none"/>
                      <w:lang w:val="en-US" w:eastAsia="zh-CN" w:bidi="ar-SA"/>
                    </w:rPr>
                  </w:pPr>
                  <w:r>
                    <w:rPr>
                      <w:rFonts w:hint="default" w:ascii="Times New Roman" w:hAnsi="Times New Roman" w:eastAsia="仿宋" w:cs="Times New Roman"/>
                      <w:b/>
                      <w:bCs/>
                      <w:color w:val="000000"/>
                      <w:kern w:val="0"/>
                      <w:sz w:val="21"/>
                      <w:szCs w:val="21"/>
                      <w:highlight w:val="none"/>
                      <w:lang w:val="en-US" w:eastAsia="zh-CN"/>
                    </w:rPr>
                    <w:t>规格</w:t>
                  </w:r>
                </w:p>
              </w:tc>
              <w:tc>
                <w:tcPr>
                  <w:tcW w:w="3328"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rPr>
                    <w:t>生产能力</w:t>
                  </w:r>
                  <w:r>
                    <w:rPr>
                      <w:rFonts w:hint="default" w:ascii="Times New Roman" w:hAnsi="Times New Roman" w:eastAsia="仿宋" w:cs="Times New Roman"/>
                      <w:b/>
                      <w:bCs/>
                      <w:color w:val="000000"/>
                      <w:kern w:val="0"/>
                      <w:sz w:val="21"/>
                      <w:szCs w:val="21"/>
                      <w:highlight w:val="none"/>
                      <w:lang w:eastAsia="zh-CN"/>
                    </w:rPr>
                    <w:t>（</w:t>
                  </w:r>
                  <w:r>
                    <w:rPr>
                      <w:rFonts w:hint="default" w:ascii="Times New Roman" w:hAnsi="Times New Roman" w:eastAsia="仿宋" w:cs="Times New Roman"/>
                      <w:b/>
                      <w:bCs/>
                      <w:color w:val="000000"/>
                      <w:kern w:val="0"/>
                      <w:sz w:val="21"/>
                      <w:szCs w:val="21"/>
                      <w:highlight w:val="none"/>
                      <w:lang w:val="en-US" w:eastAsia="zh-CN"/>
                    </w:rPr>
                    <w:t>/a</w:t>
                  </w:r>
                  <w:r>
                    <w:rPr>
                      <w:rFonts w:hint="default" w:ascii="Times New Roman" w:hAnsi="Times New Roman" w:eastAsia="仿宋" w:cs="Times New Roman"/>
                      <w:b/>
                      <w:bCs/>
                      <w:color w:val="000000"/>
                      <w:kern w:val="0"/>
                      <w:sz w:val="21"/>
                      <w:szCs w:val="21"/>
                      <w:highlight w:val="none"/>
                      <w:lang w:eastAsia="zh-CN"/>
                    </w:rPr>
                    <w:t>）</w:t>
                  </w:r>
                </w:p>
              </w:tc>
              <w:tc>
                <w:tcPr>
                  <w:tcW w:w="1830"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年运行时间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8"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sz w:val="21"/>
                      <w:szCs w:val="21"/>
                    </w:rPr>
                  </w:pPr>
                </w:p>
              </w:tc>
              <w:tc>
                <w:tcPr>
                  <w:tcW w:w="1321"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sz w:val="21"/>
                      <w:szCs w:val="21"/>
                    </w:rPr>
                  </w:pPr>
                </w:p>
              </w:tc>
              <w:tc>
                <w:tcPr>
                  <w:tcW w:w="1060"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sz w:val="21"/>
                      <w:szCs w:val="21"/>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搬迁前</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搬迁后</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变化量</w:t>
                  </w:r>
                </w:p>
              </w:tc>
              <w:tc>
                <w:tcPr>
                  <w:tcW w:w="1830"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b/>
                      <w:bCs/>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1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1</w:t>
                  </w:r>
                </w:p>
              </w:tc>
              <w:tc>
                <w:tcPr>
                  <w:tcW w:w="132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机械配件</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bidi="ar-SA"/>
                    </w:rPr>
                    <w:t>根据客户要求</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8万件</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-8万件</w:t>
                  </w:r>
                </w:p>
              </w:tc>
              <w:tc>
                <w:tcPr>
                  <w:tcW w:w="18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rPr>
                  </w:pPr>
                  <w:r>
                    <w:rPr>
                      <w:rFonts w:hint="default" w:ascii="Times New Roman" w:hAnsi="Times New Roman" w:eastAsia="仿宋" w:cs="Times New Roman"/>
                      <w:color w:val="000000"/>
                      <w:kern w:val="0"/>
                      <w:sz w:val="21"/>
                      <w:szCs w:val="21"/>
                      <w:highlight w:val="none"/>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1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2</w:t>
                  </w:r>
                </w:p>
              </w:tc>
              <w:tc>
                <w:tcPr>
                  <w:tcW w:w="132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金属</w:t>
                  </w:r>
                  <w:r>
                    <w:rPr>
                      <w:rFonts w:hint="eastAsia" w:eastAsia="仿宋" w:cs="Times New Roman"/>
                      <w:color w:val="000000"/>
                      <w:kern w:val="0"/>
                      <w:sz w:val="21"/>
                      <w:szCs w:val="21"/>
                      <w:highlight w:val="none"/>
                      <w:lang w:val="en-US" w:eastAsia="zh-CN"/>
                    </w:rPr>
                    <w:t>零部</w:t>
                  </w:r>
                  <w:r>
                    <w:rPr>
                      <w:rFonts w:hint="default" w:ascii="Times New Roman" w:hAnsi="Times New Roman" w:eastAsia="仿宋" w:cs="Times New Roman"/>
                      <w:color w:val="000000"/>
                      <w:kern w:val="0"/>
                      <w:sz w:val="21"/>
                      <w:szCs w:val="21"/>
                      <w:highlight w:val="none"/>
                      <w:lang w:val="en-US" w:eastAsia="zh-CN"/>
                    </w:rPr>
                    <w:t>件淬火</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bidi="ar-SA"/>
                    </w:rPr>
                    <w:t>根据客户要求</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1000t</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eastAsia" w:eastAsia="仿宋" w:cs="Times New Roman"/>
                      <w:color w:val="000000"/>
                      <w:kern w:val="0"/>
                      <w:sz w:val="21"/>
                      <w:szCs w:val="21"/>
                      <w:highlight w:val="none"/>
                      <w:lang w:val="en-US" w:eastAsia="zh-CN"/>
                    </w:rPr>
                    <w:t>400t</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w:t>
                  </w:r>
                  <w:r>
                    <w:rPr>
                      <w:rFonts w:hint="eastAsia" w:eastAsia="仿宋" w:cs="Times New Roman"/>
                      <w:color w:val="000000"/>
                      <w:kern w:val="0"/>
                      <w:sz w:val="21"/>
                      <w:szCs w:val="21"/>
                      <w:highlight w:val="none"/>
                      <w:lang w:val="en-US" w:eastAsia="zh-CN"/>
                    </w:rPr>
                    <w:t>600</w:t>
                  </w:r>
                  <w:r>
                    <w:rPr>
                      <w:rFonts w:hint="default" w:ascii="Times New Roman" w:hAnsi="Times New Roman" w:eastAsia="仿宋" w:cs="Times New Roman"/>
                      <w:color w:val="000000"/>
                      <w:kern w:val="0"/>
                      <w:sz w:val="21"/>
                      <w:szCs w:val="21"/>
                      <w:highlight w:val="none"/>
                      <w:lang w:val="en-US" w:eastAsia="zh-CN"/>
                    </w:rPr>
                    <w:t>t</w:t>
                  </w:r>
                </w:p>
              </w:tc>
              <w:tc>
                <w:tcPr>
                  <w:tcW w:w="18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1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eastAsia" w:eastAsia="仿宋" w:cs="Times New Roman"/>
                      <w:color w:val="000000"/>
                      <w:kern w:val="0"/>
                      <w:sz w:val="21"/>
                      <w:szCs w:val="21"/>
                      <w:highlight w:val="none"/>
                      <w:lang w:val="en-US" w:eastAsia="zh-CN"/>
                    </w:rPr>
                    <w:t>3</w:t>
                  </w:r>
                </w:p>
              </w:tc>
              <w:tc>
                <w:tcPr>
                  <w:tcW w:w="132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eastAsia" w:eastAsia="仿宋" w:cs="Times New Roman"/>
                      <w:color w:val="000000"/>
                      <w:kern w:val="0"/>
                      <w:sz w:val="21"/>
                      <w:szCs w:val="21"/>
                      <w:highlight w:val="none"/>
                      <w:lang w:val="en-US" w:eastAsia="zh-CN" w:bidi="ar-SA"/>
                    </w:rPr>
                    <w:t>柴油机配件淬火</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bidi="ar-SA"/>
                    </w:rPr>
                    <w:t>根据客户要求</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eastAsia" w:eastAsia="仿宋" w:cs="Times New Roman"/>
                      <w:color w:val="000000"/>
                      <w:kern w:val="0"/>
                      <w:sz w:val="21"/>
                      <w:szCs w:val="21"/>
                      <w:highlight w:val="none"/>
                      <w:lang w:val="en-US" w:eastAsia="zh-CN" w:bidi="ar-SA"/>
                    </w:rPr>
                    <w:t>10万件</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eastAsia" w:eastAsia="仿宋" w:cs="Times New Roman"/>
                      <w:color w:val="000000"/>
                      <w:kern w:val="0"/>
                      <w:sz w:val="21"/>
                      <w:szCs w:val="21"/>
                      <w:highlight w:val="none"/>
                      <w:lang w:val="en-US" w:eastAsia="zh-CN" w:bidi="ar-SA"/>
                    </w:rPr>
                    <w:t>0</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eastAsia" w:eastAsia="仿宋" w:cs="Times New Roman"/>
                      <w:color w:val="000000"/>
                      <w:kern w:val="0"/>
                      <w:sz w:val="21"/>
                      <w:szCs w:val="21"/>
                      <w:highlight w:val="none"/>
                      <w:lang w:val="en-US" w:eastAsia="zh-CN" w:bidi="ar-SA"/>
                    </w:rPr>
                    <w:t>-10万件</w:t>
                  </w:r>
                </w:p>
              </w:tc>
              <w:tc>
                <w:tcPr>
                  <w:tcW w:w="18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eastAsia" w:eastAsia="仿宋" w:cs="Times New Roman"/>
                      <w:color w:val="000000"/>
                      <w:kern w:val="0"/>
                      <w:sz w:val="21"/>
                      <w:szCs w:val="21"/>
                      <w:highlight w:val="none"/>
                      <w:lang w:val="en-US" w:eastAsia="zh-CN" w:bidi="ar-SA"/>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1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仿宋" w:cs="Times New Roman"/>
                      <w:color w:val="000000"/>
                      <w:kern w:val="0"/>
                      <w:sz w:val="21"/>
                      <w:szCs w:val="21"/>
                      <w:highlight w:val="none"/>
                      <w:lang w:val="en-US" w:eastAsia="zh-CN" w:bidi="ar-SA"/>
                    </w:rPr>
                  </w:pPr>
                  <w:r>
                    <w:rPr>
                      <w:rFonts w:hint="eastAsia" w:eastAsia="仿宋" w:cs="Times New Roman"/>
                      <w:color w:val="000000"/>
                      <w:kern w:val="0"/>
                      <w:sz w:val="21"/>
                      <w:szCs w:val="21"/>
                      <w:highlight w:val="none"/>
                      <w:lang w:val="en-US" w:eastAsia="zh-CN"/>
                    </w:rPr>
                    <w:t>4</w:t>
                  </w:r>
                </w:p>
              </w:tc>
              <w:tc>
                <w:tcPr>
                  <w:tcW w:w="132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eastAsia" w:eastAsia="仿宋" w:cs="Times New Roman"/>
                      <w:color w:val="000000"/>
                      <w:kern w:val="0"/>
                      <w:sz w:val="21"/>
                      <w:szCs w:val="21"/>
                      <w:highlight w:val="none"/>
                      <w:lang w:val="en-US" w:eastAsia="zh-CN"/>
                    </w:rPr>
                    <w:t>模具淬火</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bidi="ar-SA"/>
                    </w:rPr>
                    <w:t>根据客户要求</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50t</w:t>
                  </w:r>
                </w:p>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eastAsia" w:eastAsia="仿宋" w:cs="Times New Roman"/>
                      <w:color w:val="000000"/>
                      <w:kern w:val="0"/>
                      <w:sz w:val="21"/>
                      <w:szCs w:val="21"/>
                      <w:highlight w:val="none"/>
                      <w:lang w:val="en-US" w:eastAsia="zh-CN"/>
                    </w:rPr>
                    <w:t>（100套）</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仿宋" w:cs="Times New Roman"/>
                      <w:color w:val="000000"/>
                      <w:kern w:val="0"/>
                      <w:sz w:val="21"/>
                      <w:szCs w:val="21"/>
                      <w:highlight w:val="none"/>
                      <w:lang w:val="en-US" w:eastAsia="zh-CN" w:bidi="ar-SA"/>
                    </w:rPr>
                  </w:pPr>
                  <w:r>
                    <w:rPr>
                      <w:rFonts w:hint="eastAsia" w:eastAsia="仿宋" w:cs="Times New Roman"/>
                      <w:color w:val="000000"/>
                      <w:kern w:val="0"/>
                      <w:sz w:val="21"/>
                      <w:szCs w:val="21"/>
                      <w:highlight w:val="none"/>
                      <w:lang w:val="en-US" w:eastAsia="zh-CN"/>
                    </w:rPr>
                    <w:t>100t</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仿宋" w:cs="Times New Roman"/>
                      <w:color w:val="000000"/>
                      <w:kern w:val="0"/>
                      <w:sz w:val="21"/>
                      <w:szCs w:val="21"/>
                      <w:highlight w:val="none"/>
                      <w:lang w:val="en-US" w:eastAsia="zh-CN" w:bidi="ar-SA"/>
                    </w:rPr>
                  </w:pPr>
                  <w:r>
                    <w:rPr>
                      <w:rFonts w:hint="eastAsia" w:eastAsia="仿宋" w:cs="Times New Roman"/>
                      <w:color w:val="000000"/>
                      <w:kern w:val="0"/>
                      <w:sz w:val="21"/>
                      <w:szCs w:val="21"/>
                      <w:highlight w:val="none"/>
                      <w:lang w:val="en-US" w:eastAsia="zh-CN"/>
                    </w:rPr>
                    <w:t>+50t</w:t>
                  </w:r>
                </w:p>
              </w:tc>
              <w:tc>
                <w:tcPr>
                  <w:tcW w:w="18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仿宋" w:cs="Times New Roman"/>
                      <w:color w:val="000000"/>
                      <w:kern w:val="0"/>
                      <w:sz w:val="21"/>
                      <w:szCs w:val="21"/>
                      <w:highlight w:val="none"/>
                      <w:lang w:val="en-US" w:eastAsia="zh-CN" w:bidi="ar-SA"/>
                    </w:rPr>
                  </w:pPr>
                  <w:r>
                    <w:rPr>
                      <w:rFonts w:hint="eastAsia" w:eastAsia="仿宋" w:cs="Times New Roman"/>
                      <w:color w:val="000000"/>
                      <w:kern w:val="0"/>
                      <w:sz w:val="21"/>
                      <w:szCs w:val="21"/>
                      <w:highlight w:val="none"/>
                      <w:lang w:val="en-US" w:eastAsia="zh-CN"/>
                    </w:rPr>
                    <w:t>2400h</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default" w:ascii="Times New Roman" w:hAnsi="Times New Roman" w:eastAsia="仿宋" w:cs="Times New Roman"/>
                <w:b w:val="0"/>
                <w:bCs w:val="0"/>
                <w:kern w:val="0"/>
                <w:sz w:val="21"/>
                <w:szCs w:val="21"/>
                <w:lang w:val="en-US" w:eastAsia="zh-CN"/>
              </w:rPr>
            </w:pPr>
            <w:r>
              <w:rPr>
                <w:rFonts w:hint="eastAsia" w:eastAsia="仿宋" w:cs="Times New Roman"/>
                <w:b w:val="0"/>
                <w:bCs w:val="0"/>
                <w:kern w:val="0"/>
                <w:sz w:val="21"/>
                <w:szCs w:val="21"/>
                <w:lang w:val="en-US" w:eastAsia="zh-CN"/>
              </w:rPr>
              <w:t>注：原有项目产品产能模具淬火为100套/a，实际换算为重量约的50t。故上表中原有项目模具加工产能为换算后产能。</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3.主要原辅料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表2-2 项目原辅料使用情况</w:t>
            </w:r>
          </w:p>
          <w:tbl>
            <w:tblPr>
              <w:tblStyle w:val="18"/>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927"/>
              <w:gridCol w:w="1141"/>
              <w:gridCol w:w="427"/>
              <w:gridCol w:w="861"/>
              <w:gridCol w:w="823"/>
              <w:gridCol w:w="786"/>
              <w:gridCol w:w="776"/>
              <w:gridCol w:w="649"/>
              <w:gridCol w:w="761"/>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vMerge w:val="restar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序号</w:t>
                  </w:r>
                </w:p>
              </w:tc>
              <w:tc>
                <w:tcPr>
                  <w:tcW w:w="554" w:type="pct"/>
                  <w:vMerge w:val="restar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原辅料</w:t>
                  </w:r>
                </w:p>
              </w:tc>
              <w:tc>
                <w:tcPr>
                  <w:tcW w:w="682" w:type="pct"/>
                  <w:vMerge w:val="restar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主要成分</w:t>
                  </w:r>
                </w:p>
              </w:tc>
              <w:tc>
                <w:tcPr>
                  <w:tcW w:w="255" w:type="pct"/>
                  <w:vMerge w:val="restar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形态</w:t>
                  </w:r>
                </w:p>
              </w:tc>
              <w:tc>
                <w:tcPr>
                  <w:tcW w:w="515" w:type="pct"/>
                  <w:vMerge w:val="restar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规格</w:t>
                  </w:r>
                </w:p>
              </w:tc>
              <w:tc>
                <w:tcPr>
                  <w:tcW w:w="1426" w:type="pct"/>
                  <w:gridSpan w:val="3"/>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年耗量（t/a）</w:t>
                  </w:r>
                </w:p>
              </w:tc>
              <w:tc>
                <w:tcPr>
                  <w:tcW w:w="388" w:type="pct"/>
                  <w:vMerge w:val="restar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包装方式</w:t>
                  </w:r>
                </w:p>
              </w:tc>
              <w:tc>
                <w:tcPr>
                  <w:tcW w:w="455" w:type="pct"/>
                  <w:vMerge w:val="restar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厂区内最大储存量</w:t>
                  </w:r>
                </w:p>
              </w:tc>
              <w:tc>
                <w:tcPr>
                  <w:tcW w:w="455" w:type="pct"/>
                  <w:vMerge w:val="restar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vMerge w:val="continue"/>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sz w:val="21"/>
                      <w:szCs w:val="21"/>
                    </w:rPr>
                  </w:pPr>
                </w:p>
              </w:tc>
              <w:tc>
                <w:tcPr>
                  <w:tcW w:w="554" w:type="pct"/>
                  <w:vMerge w:val="continue"/>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sz w:val="21"/>
                      <w:szCs w:val="21"/>
                    </w:rPr>
                  </w:pPr>
                </w:p>
              </w:tc>
              <w:tc>
                <w:tcPr>
                  <w:tcW w:w="682" w:type="pct"/>
                  <w:vMerge w:val="continue"/>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sz w:val="21"/>
                      <w:szCs w:val="21"/>
                    </w:rPr>
                  </w:pPr>
                </w:p>
              </w:tc>
              <w:tc>
                <w:tcPr>
                  <w:tcW w:w="255" w:type="pct"/>
                  <w:vMerge w:val="continue"/>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sz w:val="21"/>
                      <w:szCs w:val="21"/>
                    </w:rPr>
                  </w:pPr>
                </w:p>
              </w:tc>
              <w:tc>
                <w:tcPr>
                  <w:tcW w:w="515" w:type="pct"/>
                  <w:vMerge w:val="continue"/>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sz w:val="21"/>
                      <w:szCs w:val="21"/>
                    </w:rPr>
                  </w:pPr>
                </w:p>
              </w:tc>
              <w:tc>
                <w:tcPr>
                  <w:tcW w:w="49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搬迁前</w:t>
                  </w:r>
                </w:p>
              </w:tc>
              <w:tc>
                <w:tcPr>
                  <w:tcW w:w="470"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搬迁后</w:t>
                  </w:r>
                </w:p>
              </w:tc>
              <w:tc>
                <w:tcPr>
                  <w:tcW w:w="463"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变化量</w:t>
                  </w:r>
                </w:p>
              </w:tc>
              <w:tc>
                <w:tcPr>
                  <w:tcW w:w="388" w:type="pct"/>
                  <w:vMerge w:val="continue"/>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rPr>
                  </w:pPr>
                </w:p>
              </w:tc>
              <w:tc>
                <w:tcPr>
                  <w:tcW w:w="455" w:type="pct"/>
                  <w:vMerge w:val="continue"/>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rPr>
                  </w:pPr>
                </w:p>
              </w:tc>
              <w:tc>
                <w:tcPr>
                  <w:tcW w:w="455" w:type="pct"/>
                  <w:vMerge w:val="continue"/>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b/>
                      <w:bCs/>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1</w:t>
                  </w:r>
                </w:p>
              </w:tc>
              <w:tc>
                <w:tcPr>
                  <w:tcW w:w="554"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金属件</w:t>
                  </w:r>
                </w:p>
              </w:tc>
              <w:tc>
                <w:tcPr>
                  <w:tcW w:w="68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碳</w:t>
                  </w:r>
                  <w:r>
                    <w:rPr>
                      <w:rFonts w:hint="default" w:ascii="Times New Roman" w:hAnsi="Times New Roman" w:eastAsia="仿宋" w:cs="Times New Roman"/>
                      <w:color w:val="000000"/>
                      <w:kern w:val="0"/>
                      <w:sz w:val="21"/>
                      <w:szCs w:val="21"/>
                      <w:highlight w:val="none"/>
                      <w:lang w:val="en-US" w:eastAsia="zh-CN"/>
                    </w:rPr>
                    <w:t>钢等</w:t>
                  </w:r>
                </w:p>
              </w:tc>
              <w:tc>
                <w:tcPr>
                  <w:tcW w:w="2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固</w:t>
                  </w:r>
                </w:p>
              </w:tc>
              <w:tc>
                <w:tcPr>
                  <w:tcW w:w="51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根据客户提供</w:t>
                  </w:r>
                </w:p>
              </w:tc>
              <w:tc>
                <w:tcPr>
                  <w:tcW w:w="49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1000</w:t>
                  </w:r>
                </w:p>
              </w:tc>
              <w:tc>
                <w:tcPr>
                  <w:tcW w:w="470"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400</w:t>
                  </w:r>
                </w:p>
              </w:tc>
              <w:tc>
                <w:tcPr>
                  <w:tcW w:w="463"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r>
                    <w:rPr>
                      <w:rFonts w:hint="eastAsia" w:eastAsia="仿宋" w:cs="Times New Roman"/>
                      <w:color w:val="000000"/>
                      <w:kern w:val="0"/>
                      <w:sz w:val="21"/>
                      <w:szCs w:val="21"/>
                      <w:highlight w:val="none"/>
                      <w:lang w:val="en-US" w:eastAsia="zh-CN"/>
                    </w:rPr>
                    <w:t>6</w:t>
                  </w:r>
                  <w:r>
                    <w:rPr>
                      <w:rFonts w:hint="default" w:ascii="Times New Roman" w:hAnsi="Times New Roman" w:eastAsia="仿宋" w:cs="Times New Roman"/>
                      <w:color w:val="000000"/>
                      <w:kern w:val="0"/>
                      <w:sz w:val="21"/>
                      <w:szCs w:val="21"/>
                      <w:highlight w:val="none"/>
                      <w:lang w:val="en-US" w:eastAsia="zh-CN"/>
                    </w:rPr>
                    <w:t>00</w:t>
                  </w:r>
                </w:p>
              </w:tc>
              <w:tc>
                <w:tcPr>
                  <w:tcW w:w="388"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10</w:t>
                  </w:r>
                  <w:r>
                    <w:rPr>
                      <w:rFonts w:hint="eastAsia" w:eastAsia="仿宋" w:cs="Times New Roman"/>
                      <w:color w:val="000000"/>
                      <w:kern w:val="0"/>
                      <w:sz w:val="21"/>
                      <w:szCs w:val="21"/>
                      <w:highlight w:val="none"/>
                      <w:lang w:val="en-US" w:eastAsia="zh-CN"/>
                    </w:rPr>
                    <w:t>t</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来料加工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2</w:t>
                  </w:r>
                </w:p>
              </w:tc>
              <w:tc>
                <w:tcPr>
                  <w:tcW w:w="554"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圆钢</w:t>
                  </w:r>
                </w:p>
              </w:tc>
              <w:tc>
                <w:tcPr>
                  <w:tcW w:w="68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钢</w:t>
                  </w:r>
                </w:p>
              </w:tc>
              <w:tc>
                <w:tcPr>
                  <w:tcW w:w="2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固</w:t>
                  </w:r>
                </w:p>
              </w:tc>
              <w:tc>
                <w:tcPr>
                  <w:tcW w:w="51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49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30</w:t>
                  </w:r>
                </w:p>
              </w:tc>
              <w:tc>
                <w:tcPr>
                  <w:tcW w:w="470"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463"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-30</w:t>
                  </w:r>
                </w:p>
              </w:tc>
              <w:tc>
                <w:tcPr>
                  <w:tcW w:w="388"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3</w:t>
                  </w:r>
                </w:p>
              </w:tc>
              <w:tc>
                <w:tcPr>
                  <w:tcW w:w="554"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铜</w:t>
                  </w:r>
                </w:p>
              </w:tc>
              <w:tc>
                <w:tcPr>
                  <w:tcW w:w="68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铜</w:t>
                  </w:r>
                </w:p>
              </w:tc>
              <w:tc>
                <w:tcPr>
                  <w:tcW w:w="2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固</w:t>
                  </w:r>
                </w:p>
              </w:tc>
              <w:tc>
                <w:tcPr>
                  <w:tcW w:w="51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49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10</w:t>
                  </w:r>
                </w:p>
              </w:tc>
              <w:tc>
                <w:tcPr>
                  <w:tcW w:w="470"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463"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-10</w:t>
                  </w:r>
                </w:p>
              </w:tc>
              <w:tc>
                <w:tcPr>
                  <w:tcW w:w="388"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455" w:type="pct"/>
                  <w:noWrap w:val="0"/>
                  <w:vAlign w:val="center"/>
                </w:tcPr>
                <w:p>
                  <w:pPr>
                    <w:keepNext w:val="0"/>
                    <w:keepLines w:val="0"/>
                    <w:pageBreakBefore w:val="0"/>
                    <w:widowControl w:val="0"/>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455" w:type="pct"/>
                  <w:noWrap w:val="0"/>
                  <w:vAlign w:val="center"/>
                </w:tcPr>
                <w:p>
                  <w:pPr>
                    <w:keepNext w:val="0"/>
                    <w:keepLines w:val="0"/>
                    <w:pageBreakBefore w:val="0"/>
                    <w:widowControl w:val="0"/>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4</w:t>
                  </w:r>
                </w:p>
              </w:tc>
              <w:tc>
                <w:tcPr>
                  <w:tcW w:w="554"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模具</w:t>
                  </w:r>
                </w:p>
              </w:tc>
              <w:tc>
                <w:tcPr>
                  <w:tcW w:w="68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钢</w:t>
                  </w:r>
                </w:p>
              </w:tc>
              <w:tc>
                <w:tcPr>
                  <w:tcW w:w="2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固</w:t>
                  </w:r>
                </w:p>
              </w:tc>
              <w:tc>
                <w:tcPr>
                  <w:tcW w:w="51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根据客户提供</w:t>
                  </w:r>
                </w:p>
              </w:tc>
              <w:tc>
                <w:tcPr>
                  <w:tcW w:w="49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470"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100</w:t>
                  </w:r>
                </w:p>
              </w:tc>
              <w:tc>
                <w:tcPr>
                  <w:tcW w:w="463"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r>
                    <w:rPr>
                      <w:rFonts w:hint="eastAsia" w:eastAsia="仿宋" w:cs="Times New Roman"/>
                      <w:color w:val="000000"/>
                      <w:kern w:val="0"/>
                      <w:sz w:val="21"/>
                      <w:szCs w:val="21"/>
                      <w:highlight w:val="none"/>
                      <w:lang w:val="en-US" w:eastAsia="zh-CN"/>
                    </w:rPr>
                    <w:t>1</w:t>
                  </w:r>
                  <w:r>
                    <w:rPr>
                      <w:rFonts w:hint="default" w:ascii="Times New Roman" w:hAnsi="Times New Roman" w:eastAsia="仿宋" w:cs="Times New Roman"/>
                      <w:color w:val="000000"/>
                      <w:kern w:val="0"/>
                      <w:sz w:val="21"/>
                      <w:szCs w:val="21"/>
                      <w:highlight w:val="none"/>
                      <w:lang w:val="en-US" w:eastAsia="zh-CN"/>
                    </w:rPr>
                    <w:t>00</w:t>
                  </w:r>
                </w:p>
              </w:tc>
              <w:tc>
                <w:tcPr>
                  <w:tcW w:w="388"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20</w:t>
                  </w:r>
                  <w:r>
                    <w:rPr>
                      <w:rFonts w:hint="eastAsia" w:eastAsia="仿宋" w:cs="Times New Roman"/>
                      <w:color w:val="000000"/>
                      <w:kern w:val="0"/>
                      <w:sz w:val="21"/>
                      <w:szCs w:val="21"/>
                      <w:highlight w:val="none"/>
                      <w:lang w:val="en-US" w:eastAsia="zh-CN"/>
                    </w:rPr>
                    <w:t>t</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来料加工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eastAsia="zh-CN"/>
                    </w:rPr>
                  </w:pPr>
                  <w:r>
                    <w:rPr>
                      <w:rFonts w:hint="default" w:ascii="Times New Roman" w:hAnsi="Times New Roman" w:eastAsia="仿宋" w:cs="Times New Roman"/>
                      <w:color w:val="000000"/>
                      <w:kern w:val="0"/>
                      <w:sz w:val="21"/>
                      <w:szCs w:val="21"/>
                      <w:highlight w:val="none"/>
                      <w:lang w:val="en-US" w:eastAsia="zh-CN"/>
                    </w:rPr>
                    <w:t>5</w:t>
                  </w:r>
                </w:p>
              </w:tc>
              <w:tc>
                <w:tcPr>
                  <w:tcW w:w="554"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甲醇</w:t>
                  </w:r>
                </w:p>
              </w:tc>
              <w:tc>
                <w:tcPr>
                  <w:tcW w:w="68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sz w:val="21"/>
                      <w:szCs w:val="21"/>
                      <w:lang w:val="en-US" w:eastAsia="zh-CN"/>
                    </w:rPr>
                    <w:t>甲醇≥99%</w:t>
                  </w:r>
                </w:p>
              </w:tc>
              <w:tc>
                <w:tcPr>
                  <w:tcW w:w="2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液</w:t>
                  </w:r>
                </w:p>
              </w:tc>
              <w:tc>
                <w:tcPr>
                  <w:tcW w:w="51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160kg/桶</w:t>
                  </w:r>
                </w:p>
              </w:tc>
              <w:tc>
                <w:tcPr>
                  <w:tcW w:w="49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8</w:t>
                  </w:r>
                </w:p>
              </w:tc>
              <w:tc>
                <w:tcPr>
                  <w:tcW w:w="470"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8</w:t>
                  </w:r>
                </w:p>
              </w:tc>
              <w:tc>
                <w:tcPr>
                  <w:tcW w:w="463"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388"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桶装</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0.64</w:t>
                  </w:r>
                  <w:r>
                    <w:rPr>
                      <w:rFonts w:hint="eastAsia" w:eastAsia="仿宋" w:cs="Times New Roman"/>
                      <w:color w:val="000000"/>
                      <w:kern w:val="0"/>
                      <w:sz w:val="21"/>
                      <w:szCs w:val="21"/>
                      <w:highlight w:val="none"/>
                      <w:lang w:val="en-US" w:eastAsia="zh-CN"/>
                    </w:rPr>
                    <w:t>t</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6</w:t>
                  </w:r>
                </w:p>
              </w:tc>
              <w:tc>
                <w:tcPr>
                  <w:tcW w:w="554"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淬火油</w:t>
                  </w:r>
                </w:p>
              </w:tc>
              <w:tc>
                <w:tcPr>
                  <w:tcW w:w="68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kern w:val="2"/>
                      <w:sz w:val="21"/>
                      <w:szCs w:val="21"/>
                      <w:lang w:val="en-US" w:eastAsia="zh-CN" w:bidi="ar-SA"/>
                    </w:rPr>
                    <w:t>矿物油</w:t>
                  </w:r>
                </w:p>
              </w:tc>
              <w:tc>
                <w:tcPr>
                  <w:tcW w:w="2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液</w:t>
                  </w:r>
                </w:p>
              </w:tc>
              <w:tc>
                <w:tcPr>
                  <w:tcW w:w="51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160kg/桶</w:t>
                  </w:r>
                </w:p>
              </w:tc>
              <w:tc>
                <w:tcPr>
                  <w:tcW w:w="49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3</w:t>
                  </w:r>
                </w:p>
              </w:tc>
              <w:tc>
                <w:tcPr>
                  <w:tcW w:w="470"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3</w:t>
                  </w:r>
                </w:p>
              </w:tc>
              <w:tc>
                <w:tcPr>
                  <w:tcW w:w="463"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388"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lang w:val="en-US" w:eastAsia="zh-CN"/>
                    </w:rPr>
                    <w:t>桶装</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5.16</w:t>
                  </w:r>
                  <w:r>
                    <w:rPr>
                      <w:rFonts w:hint="eastAsia" w:eastAsia="仿宋" w:cs="Times New Roman"/>
                      <w:color w:val="000000"/>
                      <w:kern w:val="0"/>
                      <w:sz w:val="21"/>
                      <w:szCs w:val="21"/>
                      <w:highlight w:val="none"/>
                      <w:lang w:val="en-US" w:eastAsia="zh-CN"/>
                    </w:rPr>
                    <w:t>t</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7</w:t>
                  </w:r>
                </w:p>
              </w:tc>
              <w:tc>
                <w:tcPr>
                  <w:tcW w:w="554"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25%氨水</w:t>
                  </w:r>
                </w:p>
              </w:tc>
              <w:tc>
                <w:tcPr>
                  <w:tcW w:w="68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氨、水</w:t>
                  </w:r>
                </w:p>
              </w:tc>
              <w:tc>
                <w:tcPr>
                  <w:tcW w:w="2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液</w:t>
                  </w:r>
                </w:p>
              </w:tc>
              <w:tc>
                <w:tcPr>
                  <w:tcW w:w="51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180kg/桶</w:t>
                  </w:r>
                </w:p>
              </w:tc>
              <w:tc>
                <w:tcPr>
                  <w:tcW w:w="49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1.62</w:t>
                  </w:r>
                </w:p>
              </w:tc>
              <w:tc>
                <w:tcPr>
                  <w:tcW w:w="470"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0</w:t>
                  </w:r>
                </w:p>
              </w:tc>
              <w:tc>
                <w:tcPr>
                  <w:tcW w:w="463"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-1.62</w:t>
                  </w:r>
                </w:p>
              </w:tc>
              <w:tc>
                <w:tcPr>
                  <w:tcW w:w="388"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桶装</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8</w:t>
                  </w:r>
                </w:p>
              </w:tc>
              <w:tc>
                <w:tcPr>
                  <w:tcW w:w="554"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工业盐</w:t>
                  </w:r>
                </w:p>
              </w:tc>
              <w:tc>
                <w:tcPr>
                  <w:tcW w:w="68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氯化钠、氯化钾等</w:t>
                  </w:r>
                </w:p>
              </w:tc>
              <w:tc>
                <w:tcPr>
                  <w:tcW w:w="2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固</w:t>
                  </w:r>
                </w:p>
              </w:tc>
              <w:tc>
                <w:tcPr>
                  <w:tcW w:w="51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50kg/袋</w:t>
                  </w:r>
                </w:p>
              </w:tc>
              <w:tc>
                <w:tcPr>
                  <w:tcW w:w="492"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5</w:t>
                  </w:r>
                </w:p>
              </w:tc>
              <w:tc>
                <w:tcPr>
                  <w:tcW w:w="470"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0.5</w:t>
                  </w:r>
                </w:p>
              </w:tc>
              <w:tc>
                <w:tcPr>
                  <w:tcW w:w="463"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-4.5</w:t>
                  </w:r>
                </w:p>
              </w:tc>
              <w:tc>
                <w:tcPr>
                  <w:tcW w:w="388"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袋装</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0.05</w:t>
                  </w:r>
                </w:p>
              </w:tc>
              <w:tc>
                <w:tcPr>
                  <w:tcW w:w="455" w:type="pct"/>
                  <w:noWrap w:val="0"/>
                  <w:vAlign w:val="center"/>
                </w:tcPr>
                <w:p>
                  <w:pPr>
                    <w:keepNext w:val="0"/>
                    <w:keepLines w:val="0"/>
                    <w:pageBreakBefore w:val="0"/>
                    <w:widowControl w:val="0"/>
                    <w:tabs>
                      <w:tab w:val="left" w:pos="960"/>
                    </w:tabs>
                    <w:kinsoku/>
                    <w:wordWrap/>
                    <w:overflowPunct/>
                    <w:topLinePunct w:val="0"/>
                    <w:autoSpaceDE/>
                    <w:autoSpaceDN/>
                    <w:bidi w:val="0"/>
                    <w:adjustRightInd/>
                    <w:snapToGrid w:val="0"/>
                    <w:spacing w:before="93" w:beforeLines="30"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外购</w:t>
                  </w:r>
                </w:p>
              </w:tc>
            </w:tr>
          </w:tbl>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表2-3 主要原辅料理化性质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053"/>
              <w:gridCol w:w="2503"/>
              <w:gridCol w:w="1701"/>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gridSpan w:val="2"/>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kern w:val="0"/>
                      <w:sz w:val="24"/>
                      <w:szCs w:val="24"/>
                      <w:vertAlign w:val="baseline"/>
                      <w:lang w:val="en-US" w:eastAsia="zh-CN"/>
                    </w:rPr>
                  </w:pPr>
                  <w:r>
                    <w:rPr>
                      <w:rFonts w:hint="default" w:ascii="Times New Roman" w:hAnsi="Times New Roman" w:eastAsia="仿宋" w:cs="Times New Roman"/>
                      <w:b/>
                      <w:bCs/>
                      <w:color w:val="000000"/>
                      <w:sz w:val="21"/>
                      <w:szCs w:val="21"/>
                      <w:highlight w:val="none"/>
                    </w:rPr>
                    <w:t>名称</w:t>
                  </w:r>
                </w:p>
              </w:tc>
              <w:tc>
                <w:tcPr>
                  <w:tcW w:w="2503" w:type="dxa"/>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kern w:val="0"/>
                      <w:sz w:val="24"/>
                      <w:szCs w:val="24"/>
                      <w:vertAlign w:val="baseline"/>
                      <w:lang w:val="en-US" w:eastAsia="zh-CN"/>
                    </w:rPr>
                  </w:pPr>
                  <w:r>
                    <w:rPr>
                      <w:rFonts w:hint="default" w:ascii="Times New Roman" w:hAnsi="Times New Roman" w:eastAsia="仿宋" w:cs="Times New Roman"/>
                      <w:b/>
                      <w:bCs/>
                      <w:color w:val="000000"/>
                      <w:sz w:val="21"/>
                      <w:szCs w:val="21"/>
                      <w:highlight w:val="none"/>
                    </w:rPr>
                    <w:t>理化性质</w:t>
                  </w:r>
                </w:p>
              </w:tc>
              <w:tc>
                <w:tcPr>
                  <w:tcW w:w="1701" w:type="dxa"/>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kern w:val="0"/>
                      <w:sz w:val="24"/>
                      <w:szCs w:val="24"/>
                      <w:vertAlign w:val="baseline"/>
                      <w:lang w:val="en-US" w:eastAsia="zh-CN"/>
                    </w:rPr>
                  </w:pPr>
                  <w:r>
                    <w:rPr>
                      <w:rFonts w:hint="default" w:ascii="Times New Roman" w:hAnsi="Times New Roman" w:eastAsia="仿宋" w:cs="Times New Roman"/>
                      <w:b/>
                      <w:bCs/>
                      <w:color w:val="000000"/>
                      <w:sz w:val="21"/>
                      <w:szCs w:val="21"/>
                      <w:highlight w:val="none"/>
                    </w:rPr>
                    <w:t>燃爆性</w:t>
                  </w:r>
                </w:p>
              </w:tc>
              <w:tc>
                <w:tcPr>
                  <w:tcW w:w="2103" w:type="dxa"/>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kern w:val="0"/>
                      <w:sz w:val="24"/>
                      <w:szCs w:val="24"/>
                      <w:vertAlign w:val="baseline"/>
                      <w:lang w:val="en-US" w:eastAsia="zh-CN"/>
                    </w:rPr>
                  </w:pPr>
                  <w:r>
                    <w:rPr>
                      <w:rFonts w:hint="default" w:ascii="Times New Roman" w:hAnsi="Times New Roman" w:eastAsia="仿宋" w:cs="Times New Roman"/>
                      <w:b/>
                      <w:bCs/>
                      <w:color w:val="000000"/>
                      <w:sz w:val="21"/>
                      <w:szCs w:val="21"/>
                      <w:highlight w:val="none"/>
                    </w:rPr>
                    <w:t>毒性毒理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kern w:val="0"/>
                      <w:sz w:val="24"/>
                      <w:szCs w:val="24"/>
                      <w:vertAlign w:val="baseline"/>
                      <w:lang w:val="en-US" w:eastAsia="zh-CN"/>
                    </w:rPr>
                  </w:pPr>
                  <w:r>
                    <w:rPr>
                      <w:rFonts w:hint="default" w:ascii="Times New Roman" w:hAnsi="Times New Roman" w:eastAsia="仿宋" w:cs="Times New Roman"/>
                      <w:color w:val="auto"/>
                      <w:sz w:val="21"/>
                      <w:szCs w:val="21"/>
                      <w:highlight w:val="none"/>
                      <w:lang w:val="en-US" w:eastAsia="zh-CN"/>
                    </w:rPr>
                    <w:t>淬火油</w:t>
                  </w:r>
                </w:p>
              </w:tc>
              <w:tc>
                <w:tcPr>
                  <w:tcW w:w="1053" w:type="dxa"/>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kern w:val="0"/>
                      <w:sz w:val="24"/>
                      <w:szCs w:val="24"/>
                      <w:vertAlign w:val="baseline"/>
                      <w:lang w:val="en-US" w:eastAsia="zh-CN"/>
                    </w:rPr>
                  </w:pPr>
                  <w:r>
                    <w:rPr>
                      <w:rFonts w:hint="default" w:ascii="Times New Roman" w:hAnsi="Times New Roman" w:eastAsia="仿宋" w:cs="Times New Roman"/>
                      <w:color w:val="auto"/>
                      <w:sz w:val="21"/>
                      <w:szCs w:val="21"/>
                      <w:highlight w:val="none"/>
                      <w:u w:val="none"/>
                      <w:lang w:val="en-US" w:eastAsia="zh-CN"/>
                    </w:rPr>
                    <w:t>矿物油</w:t>
                  </w:r>
                </w:p>
              </w:tc>
              <w:tc>
                <w:tcPr>
                  <w:tcW w:w="2503" w:type="dxa"/>
                  <w:vAlign w:val="center"/>
                </w:tcPr>
                <w:p>
                  <w:pPr>
                    <w:keepNext w:val="0"/>
                    <w:keepLines w:val="0"/>
                    <w:pageBreakBefore w:val="0"/>
                    <w:widowControl w:val="0"/>
                    <w:kinsoku/>
                    <w:wordWrap w:val="0"/>
                    <w:overflowPunct/>
                    <w:topLinePunct/>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kern w:val="0"/>
                      <w:sz w:val="24"/>
                      <w:szCs w:val="24"/>
                      <w:vertAlign w:val="baseline"/>
                      <w:lang w:val="en-US" w:eastAsia="zh-CN"/>
                    </w:rPr>
                  </w:pPr>
                  <w:r>
                    <w:rPr>
                      <w:rFonts w:hint="default" w:ascii="Times New Roman" w:hAnsi="Times New Roman" w:eastAsia="仿宋" w:cs="Times New Roman"/>
                      <w:kern w:val="2"/>
                      <w:sz w:val="21"/>
                      <w:szCs w:val="21"/>
                      <w:lang w:val="en-US" w:eastAsia="zh-CN" w:bidi="ar-SA"/>
                    </w:rPr>
                    <w:t>外观为暗褐色油状液体，密度为0.84g/cm</w:t>
                  </w:r>
                  <w:r>
                    <w:rPr>
                      <w:rFonts w:hint="default" w:ascii="Times New Roman" w:hAnsi="Times New Roman" w:eastAsia="仿宋" w:cs="Times New Roman"/>
                      <w:kern w:val="2"/>
                      <w:sz w:val="21"/>
                      <w:szCs w:val="21"/>
                      <w:vertAlign w:val="superscript"/>
                      <w:lang w:val="en-US" w:eastAsia="zh-CN" w:bidi="ar-SA"/>
                    </w:rPr>
                    <w:t>3</w:t>
                  </w:r>
                  <w:r>
                    <w:rPr>
                      <w:rFonts w:hint="default" w:ascii="Times New Roman" w:hAnsi="Times New Roman" w:eastAsia="仿宋" w:cs="Times New Roman"/>
                      <w:kern w:val="2"/>
                      <w:sz w:val="21"/>
                      <w:szCs w:val="21"/>
                      <w:lang w:val="en-US" w:eastAsia="zh-CN" w:bidi="ar-SA"/>
                    </w:rPr>
                    <w:t>，闪点≥180℃；特殊处理的基础油和复合添加剂技术，使用性能稳定，寿命长。</w:t>
                  </w:r>
                </w:p>
              </w:tc>
              <w:tc>
                <w:tcPr>
                  <w:tcW w:w="1701" w:type="dxa"/>
                  <w:vAlign w:val="center"/>
                </w:tcPr>
                <w:p>
                  <w:pPr>
                    <w:keepNext w:val="0"/>
                    <w:keepLines w:val="0"/>
                    <w:pageBreakBefore w:val="0"/>
                    <w:kinsoku/>
                    <w:overflowPunct/>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kern w:val="0"/>
                      <w:sz w:val="24"/>
                      <w:szCs w:val="24"/>
                      <w:vertAlign w:val="baseline"/>
                      <w:lang w:val="en-US" w:eastAsia="zh-CN"/>
                    </w:rPr>
                  </w:pPr>
                  <w:r>
                    <w:rPr>
                      <w:rFonts w:hint="default" w:ascii="Times New Roman" w:hAnsi="Times New Roman" w:eastAsia="仿宋" w:cs="Times New Roman"/>
                      <w:kern w:val="2"/>
                      <w:sz w:val="21"/>
                      <w:szCs w:val="21"/>
                      <w:lang w:val="en-US" w:eastAsia="zh-CN" w:bidi="ar-SA"/>
                    </w:rPr>
                    <w:t>可燃</w:t>
                  </w:r>
                </w:p>
              </w:tc>
              <w:tc>
                <w:tcPr>
                  <w:tcW w:w="2103" w:type="dxa"/>
                  <w:vAlign w:val="center"/>
                </w:tcPr>
                <w:p>
                  <w:pPr>
                    <w:pStyle w:val="13"/>
                    <w:keepNext w:val="0"/>
                    <w:keepLines w:val="0"/>
                    <w:pageBreakBefore w:val="0"/>
                    <w:widowControl/>
                    <w:shd w:val="clear" w:color="auto" w:fill="FFFFFF"/>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auto"/>
                    <w:rPr>
                      <w:rFonts w:hint="default" w:ascii="Times New Roman" w:hAnsi="Times New Roman" w:eastAsia="仿宋" w:cs="Times New Roman"/>
                      <w:b/>
                      <w:bCs/>
                      <w:kern w:val="0"/>
                      <w:sz w:val="24"/>
                      <w:szCs w:val="24"/>
                      <w:vertAlign w:val="baseline"/>
                      <w:lang w:val="en-US" w:eastAsia="zh-CN"/>
                    </w:rPr>
                  </w:pPr>
                  <w:r>
                    <w:rPr>
                      <w:rFonts w:hint="default" w:ascii="Times New Roman" w:hAnsi="Times New Roman" w:eastAsia="仿宋"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gridSpan w:val="2"/>
                  <w:vAlign w:val="center"/>
                </w:tcPr>
                <w:p>
                  <w:pPr>
                    <w:keepNext w:val="0"/>
                    <w:keepLines w:val="0"/>
                    <w:pageBreakBefore w:val="0"/>
                    <w:kinsoku/>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kern w:val="0"/>
                      <w:sz w:val="24"/>
                      <w:szCs w:val="24"/>
                      <w:vertAlign w:val="baseline"/>
                      <w:lang w:val="en-US" w:eastAsia="zh-CN"/>
                    </w:rPr>
                  </w:pPr>
                  <w:r>
                    <w:rPr>
                      <w:rFonts w:hint="default" w:ascii="Times New Roman" w:hAnsi="Times New Roman" w:eastAsia="仿宋" w:cs="Times New Roman"/>
                      <w:color w:val="auto"/>
                      <w:kern w:val="2"/>
                      <w:sz w:val="21"/>
                      <w:szCs w:val="21"/>
                      <w:lang w:val="en-US" w:eastAsia="zh-CN" w:bidi="ar-SA"/>
                    </w:rPr>
                    <w:t>甲醇</w:t>
                  </w:r>
                </w:p>
              </w:tc>
              <w:tc>
                <w:tcPr>
                  <w:tcW w:w="2503"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kern w:val="0"/>
                      <w:sz w:val="24"/>
                      <w:szCs w:val="24"/>
                      <w:vertAlign w:val="baseline"/>
                      <w:lang w:val="en-US" w:eastAsia="zh-CN"/>
                    </w:rPr>
                  </w:pPr>
                  <w:r>
                    <w:rPr>
                      <w:rFonts w:hint="default" w:ascii="Times New Roman" w:hAnsi="Times New Roman" w:eastAsia="仿宋" w:cs="Times New Roman"/>
                      <w:color w:val="auto"/>
                      <w:kern w:val="2"/>
                      <w:sz w:val="21"/>
                      <w:szCs w:val="21"/>
                      <w:lang w:val="en-US" w:eastAsia="zh-CN" w:bidi="ar-SA"/>
                    </w:rPr>
                    <w:t>无色透明液体，沸点65℃，闪点12℃，引燃温度464℃，与水混溶。</w:t>
                  </w:r>
                </w:p>
              </w:tc>
              <w:tc>
                <w:tcPr>
                  <w:tcW w:w="1701" w:type="dxa"/>
                  <w:vAlign w:val="center"/>
                </w:tcPr>
                <w:p>
                  <w:pPr>
                    <w:keepNext w:val="0"/>
                    <w:keepLines w:val="0"/>
                    <w:pageBreakBefore w:val="0"/>
                    <w:kinsoku/>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kern w:val="0"/>
                      <w:sz w:val="24"/>
                      <w:szCs w:val="24"/>
                      <w:vertAlign w:val="baseline"/>
                      <w:lang w:val="en-US" w:eastAsia="zh-CN"/>
                    </w:rPr>
                  </w:pPr>
                  <w:r>
                    <w:rPr>
                      <w:rFonts w:hint="default" w:ascii="Times New Roman" w:hAnsi="Times New Roman" w:eastAsia="仿宋" w:cs="Times New Roman"/>
                      <w:i w:val="0"/>
                      <w:caps w:val="0"/>
                      <w:color w:val="auto"/>
                      <w:spacing w:val="0"/>
                      <w:sz w:val="21"/>
                      <w:szCs w:val="21"/>
                      <w:shd w:val="clear" w:color="auto" w:fill="FFFFFF"/>
                    </w:rPr>
                    <w:t>易燃，具爆炸性</w:t>
                  </w:r>
                </w:p>
              </w:tc>
              <w:tc>
                <w:tcPr>
                  <w:tcW w:w="2103" w:type="dxa"/>
                  <w:vAlign w:val="center"/>
                </w:tcPr>
                <w:p>
                  <w:pPr>
                    <w:pStyle w:val="13"/>
                    <w:keepNext w:val="0"/>
                    <w:keepLines w:val="0"/>
                    <w:pageBreakBefore w:val="0"/>
                    <w:widowControl/>
                    <w:shd w:val="clear" w:color="auto" w:fill="FFFFFF"/>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LD</w:t>
                  </w:r>
                  <w:r>
                    <w:rPr>
                      <w:rFonts w:hint="default" w:ascii="Times New Roman" w:hAnsi="Times New Roman" w:eastAsia="仿宋" w:cs="Times New Roman"/>
                      <w:color w:val="auto"/>
                      <w:kern w:val="2"/>
                      <w:sz w:val="21"/>
                      <w:szCs w:val="21"/>
                      <w:vertAlign w:val="subscript"/>
                      <w:lang w:val="en-US" w:eastAsia="zh-CN" w:bidi="ar-SA"/>
                    </w:rPr>
                    <w:t>50</w:t>
                  </w:r>
                  <w:r>
                    <w:rPr>
                      <w:rFonts w:hint="default" w:ascii="Times New Roman" w:hAnsi="Times New Roman" w:eastAsia="仿宋" w:cs="Times New Roman"/>
                      <w:color w:val="auto"/>
                      <w:kern w:val="2"/>
                      <w:sz w:val="21"/>
                      <w:szCs w:val="21"/>
                      <w:lang w:val="en-US" w:eastAsia="zh-CN" w:bidi="ar-SA"/>
                    </w:rPr>
                    <w:t>：2000mg/kg</w:t>
                  </w:r>
                  <w:r>
                    <w:rPr>
                      <w:rFonts w:hint="eastAsia" w:ascii="Times New Roman" w:hAnsi="Times New Roman" w:eastAsia="仿宋" w:cs="Times New Roman"/>
                      <w:color w:val="auto"/>
                      <w:kern w:val="2"/>
                      <w:sz w:val="21"/>
                      <w:szCs w:val="21"/>
                      <w:lang w:val="en-US" w:eastAsia="zh-CN" w:bidi="ar-SA"/>
                    </w:rPr>
                    <w:t xml:space="preserve"> </w:t>
                  </w:r>
                  <w:r>
                    <w:rPr>
                      <w:rFonts w:hint="default" w:ascii="Times New Roman" w:hAnsi="Times New Roman" w:eastAsia="仿宋" w:cs="Times New Roman"/>
                      <w:color w:val="auto"/>
                      <w:kern w:val="2"/>
                      <w:sz w:val="21"/>
                      <w:szCs w:val="21"/>
                      <w:lang w:val="en-US" w:eastAsia="zh-CN" w:bidi="ar-SA"/>
                    </w:rPr>
                    <w:t>（大鼠食入）</w:t>
                  </w:r>
                </w:p>
                <w:p>
                  <w:pPr>
                    <w:pStyle w:val="13"/>
                    <w:keepNext w:val="0"/>
                    <w:keepLines w:val="0"/>
                    <w:pageBreakBefore w:val="0"/>
                    <w:widowControl/>
                    <w:shd w:val="clear" w:color="auto" w:fill="FFFFFF"/>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auto"/>
                    <w:rPr>
                      <w:rFonts w:hint="default" w:ascii="Times New Roman" w:hAnsi="Times New Roman" w:eastAsia="仿宋" w:cs="Times New Roman"/>
                      <w:b/>
                      <w:bCs/>
                      <w:kern w:val="0"/>
                      <w:sz w:val="24"/>
                      <w:szCs w:val="24"/>
                      <w:vertAlign w:val="baseline"/>
                      <w:lang w:val="en-US" w:eastAsia="zh-CN"/>
                    </w:rPr>
                  </w:pPr>
                  <w:r>
                    <w:rPr>
                      <w:rFonts w:hint="default" w:ascii="Times New Roman" w:hAnsi="Times New Roman" w:eastAsia="仿宋" w:cs="Times New Roman"/>
                      <w:color w:val="auto"/>
                      <w:kern w:val="2"/>
                      <w:sz w:val="21"/>
                      <w:szCs w:val="21"/>
                      <w:lang w:val="en-US" w:eastAsia="zh-CN" w:bidi="ar-SA"/>
                    </w:rPr>
                    <w:t>LC</w:t>
                  </w:r>
                  <w:r>
                    <w:rPr>
                      <w:rFonts w:hint="default" w:ascii="Times New Roman" w:hAnsi="Times New Roman" w:eastAsia="仿宋" w:cs="Times New Roman"/>
                      <w:color w:val="auto"/>
                      <w:kern w:val="2"/>
                      <w:sz w:val="21"/>
                      <w:szCs w:val="21"/>
                      <w:vertAlign w:val="subscript"/>
                      <w:lang w:val="en-US" w:eastAsia="zh-CN" w:bidi="ar-SA"/>
                    </w:rPr>
                    <w:t>50</w:t>
                  </w:r>
                  <w:r>
                    <w:rPr>
                      <w:rFonts w:hint="default" w:ascii="Times New Roman" w:hAnsi="Times New Roman" w:eastAsia="仿宋" w:cs="Times New Roman"/>
                      <w:color w:val="auto"/>
                      <w:kern w:val="2"/>
                      <w:sz w:val="21"/>
                      <w:szCs w:val="21"/>
                      <w:lang w:val="en-US" w:eastAsia="zh-CN" w:bidi="ar-SA"/>
                    </w:rPr>
                    <w:t>：5000mg/m</w:t>
                  </w:r>
                  <w:r>
                    <w:rPr>
                      <w:rFonts w:hint="default" w:ascii="Times New Roman" w:hAnsi="Times New Roman" w:eastAsia="仿宋" w:cs="Times New Roman"/>
                      <w:color w:val="auto"/>
                      <w:kern w:val="2"/>
                      <w:sz w:val="21"/>
                      <w:szCs w:val="21"/>
                      <w:vertAlign w:val="superscript"/>
                      <w:lang w:val="en-US" w:eastAsia="zh-CN" w:bidi="ar-SA"/>
                    </w:rPr>
                    <w:t>3</w:t>
                  </w:r>
                  <w:r>
                    <w:rPr>
                      <w:rFonts w:hint="default" w:ascii="Times New Roman" w:hAnsi="Times New Roman" w:eastAsia="仿宋" w:cs="Times New Roman"/>
                      <w:color w:val="auto"/>
                      <w:kern w:val="2"/>
                      <w:sz w:val="21"/>
                      <w:szCs w:val="21"/>
                      <w:lang w:val="en-US" w:eastAsia="zh-CN" w:bidi="ar-SA"/>
                    </w:rPr>
                    <w:t xml:space="preserve"> （大鼠吸入）</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4.主要设备</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表2-4 本项目设备清单</w:t>
            </w:r>
          </w:p>
          <w:tbl>
            <w:tblPr>
              <w:tblStyle w:val="17"/>
              <w:tblW w:w="8416" w:type="dxa"/>
              <w:jc w:val="center"/>
              <w:tblLayout w:type="autofit"/>
              <w:tblCellMar>
                <w:top w:w="0" w:type="dxa"/>
                <w:left w:w="108" w:type="dxa"/>
                <w:bottom w:w="0" w:type="dxa"/>
                <w:right w:w="108" w:type="dxa"/>
              </w:tblCellMar>
            </w:tblPr>
            <w:tblGrid>
              <w:gridCol w:w="433"/>
              <w:gridCol w:w="1272"/>
              <w:gridCol w:w="1272"/>
              <w:gridCol w:w="655"/>
              <w:gridCol w:w="1214"/>
              <w:gridCol w:w="1214"/>
              <w:gridCol w:w="1221"/>
              <w:gridCol w:w="1135"/>
            </w:tblGrid>
            <w:tr>
              <w:tblPrEx>
                <w:tblCellMar>
                  <w:top w:w="0" w:type="dxa"/>
                  <w:left w:w="108" w:type="dxa"/>
                  <w:bottom w:w="0" w:type="dxa"/>
                  <w:right w:w="108" w:type="dxa"/>
                </w:tblCellMar>
              </w:tblPrEx>
              <w:trPr>
                <w:trHeight w:val="325" w:hRule="atLeast"/>
                <w:jc w:val="center"/>
              </w:trPr>
              <w:tc>
                <w:tcPr>
                  <w:tcW w:w="257" w:type="pct"/>
                  <w:vMerge w:val="restart"/>
                  <w:tcBorders>
                    <w:top w:val="single" w:color="auto" w:sz="4" w:space="0"/>
                    <w:left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序号</w:t>
                  </w:r>
                </w:p>
              </w:tc>
              <w:tc>
                <w:tcPr>
                  <w:tcW w:w="755" w:type="pct"/>
                  <w:vMerge w:val="restart"/>
                  <w:tcBorders>
                    <w:top w:val="single" w:color="auto" w:sz="4" w:space="0"/>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设备名称</w:t>
                  </w:r>
                </w:p>
              </w:tc>
              <w:tc>
                <w:tcPr>
                  <w:tcW w:w="755" w:type="pct"/>
                  <w:vMerge w:val="restart"/>
                  <w:tcBorders>
                    <w:top w:val="single" w:color="auto" w:sz="4" w:space="0"/>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Times New Roman" w:hAnsi="Times New Roman" w:eastAsia="仿宋" w:cs="Times New Roman"/>
                      <w:b/>
                      <w:bCs/>
                      <w:color w:val="000000"/>
                      <w:kern w:val="0"/>
                      <w:sz w:val="21"/>
                      <w:szCs w:val="21"/>
                      <w:highlight w:val="none"/>
                      <w:lang w:val="en-US" w:eastAsia="zh-CN"/>
                    </w:rPr>
                  </w:pPr>
                  <w:r>
                    <w:rPr>
                      <w:rFonts w:hint="eastAsia" w:eastAsia="仿宋" w:cs="Times New Roman"/>
                      <w:b/>
                      <w:bCs/>
                      <w:color w:val="000000"/>
                      <w:kern w:val="0"/>
                      <w:sz w:val="21"/>
                      <w:szCs w:val="21"/>
                      <w:highlight w:val="none"/>
                      <w:lang w:val="en-US" w:eastAsia="zh-CN"/>
                    </w:rPr>
                    <w:t>规格</w:t>
                  </w:r>
                </w:p>
              </w:tc>
              <w:tc>
                <w:tcPr>
                  <w:tcW w:w="389" w:type="pct"/>
                  <w:vMerge w:val="restart"/>
                  <w:tcBorders>
                    <w:top w:val="single" w:color="auto" w:sz="4" w:space="0"/>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工序</w:t>
                  </w:r>
                </w:p>
              </w:tc>
              <w:tc>
                <w:tcPr>
                  <w:tcW w:w="2167" w:type="pct"/>
                  <w:gridSpan w:val="3"/>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数量（台/套/条）</w:t>
                  </w:r>
                </w:p>
              </w:tc>
              <w:tc>
                <w:tcPr>
                  <w:tcW w:w="674" w:type="pct"/>
                  <w:vMerge w:val="restart"/>
                  <w:tcBorders>
                    <w:top w:val="single" w:color="auto" w:sz="4" w:space="0"/>
                    <w:left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lang w:val="en-US" w:eastAsia="zh-CN"/>
                    </w:rPr>
                    <w:t>本项目</w:t>
                  </w:r>
                  <w:r>
                    <w:rPr>
                      <w:rFonts w:hint="default" w:ascii="Times New Roman" w:hAnsi="Times New Roman" w:eastAsia="仿宋" w:cs="Times New Roman"/>
                      <w:b/>
                      <w:bCs/>
                      <w:color w:val="000000"/>
                      <w:kern w:val="0"/>
                      <w:sz w:val="21"/>
                      <w:szCs w:val="21"/>
                      <w:highlight w:val="none"/>
                    </w:rPr>
                    <w:t>位置</w:t>
                  </w:r>
                </w:p>
              </w:tc>
            </w:tr>
            <w:tr>
              <w:tblPrEx>
                <w:tblCellMar>
                  <w:top w:w="0" w:type="dxa"/>
                  <w:left w:w="108" w:type="dxa"/>
                  <w:bottom w:w="0" w:type="dxa"/>
                  <w:right w:w="108" w:type="dxa"/>
                </w:tblCellMar>
              </w:tblPrEx>
              <w:trPr>
                <w:trHeight w:val="325" w:hRule="atLeast"/>
                <w:jc w:val="center"/>
              </w:trPr>
              <w:tc>
                <w:tcPr>
                  <w:tcW w:w="257" w:type="pct"/>
                  <w:vMerge w:val="continue"/>
                  <w:tcBorders>
                    <w:left w:val="single" w:color="auto" w:sz="4"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sz w:val="21"/>
                      <w:szCs w:val="21"/>
                    </w:rPr>
                  </w:pPr>
                </w:p>
              </w:tc>
              <w:tc>
                <w:tcPr>
                  <w:tcW w:w="755" w:type="pct"/>
                  <w:vMerge w:val="continue"/>
                  <w:tcBorders>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sz w:val="21"/>
                      <w:szCs w:val="21"/>
                    </w:rPr>
                  </w:pPr>
                </w:p>
              </w:tc>
              <w:tc>
                <w:tcPr>
                  <w:tcW w:w="755" w:type="pct"/>
                  <w:vMerge w:val="continue"/>
                  <w:tcBorders>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sz w:val="21"/>
                      <w:szCs w:val="21"/>
                    </w:rPr>
                  </w:pPr>
                </w:p>
              </w:tc>
              <w:tc>
                <w:tcPr>
                  <w:tcW w:w="389" w:type="pct"/>
                  <w:vMerge w:val="continue"/>
                  <w:tcBorders>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sz w:val="21"/>
                      <w:szCs w:val="21"/>
                    </w:rPr>
                  </w:pPr>
                </w:p>
              </w:tc>
              <w:tc>
                <w:tcPr>
                  <w:tcW w:w="721" w:type="pct"/>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迁建前</w:t>
                  </w:r>
                </w:p>
              </w:tc>
              <w:tc>
                <w:tcPr>
                  <w:tcW w:w="721" w:type="pct"/>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迁建后</w:t>
                  </w:r>
                </w:p>
              </w:tc>
              <w:tc>
                <w:tcPr>
                  <w:tcW w:w="725" w:type="pct"/>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b/>
                      <w:bCs/>
                      <w:color w:val="000000"/>
                      <w:kern w:val="0"/>
                      <w:sz w:val="21"/>
                      <w:szCs w:val="21"/>
                      <w:highlight w:val="none"/>
                      <w:lang w:val="en-US" w:eastAsia="zh-CN"/>
                    </w:rPr>
                  </w:pPr>
                  <w:r>
                    <w:rPr>
                      <w:rFonts w:hint="default" w:ascii="Times New Roman" w:hAnsi="Times New Roman" w:eastAsia="仿宋" w:cs="Times New Roman"/>
                      <w:b/>
                      <w:bCs/>
                      <w:color w:val="000000"/>
                      <w:kern w:val="0"/>
                      <w:sz w:val="21"/>
                      <w:szCs w:val="21"/>
                      <w:highlight w:val="none"/>
                      <w:lang w:val="en-US" w:eastAsia="zh-CN"/>
                    </w:rPr>
                    <w:t>变化量</w:t>
                  </w:r>
                </w:p>
              </w:tc>
              <w:tc>
                <w:tcPr>
                  <w:tcW w:w="674" w:type="pct"/>
                  <w:vMerge w:val="continue"/>
                  <w:tcBorders>
                    <w:left w:val="single" w:color="auto" w:sz="6"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b/>
                      <w:bCs/>
                      <w:color w:val="000000"/>
                      <w:kern w:val="0"/>
                      <w:sz w:val="21"/>
                      <w:szCs w:val="21"/>
                      <w:highlight w:val="none"/>
                    </w:rPr>
                  </w:pP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箱式电阻炉</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eastAsia" w:eastAsia="仿宋" w:cs="Times New Roman"/>
                      <w:color w:val="000000"/>
                      <w:sz w:val="21"/>
                      <w:szCs w:val="21"/>
                      <w:highlight w:val="none"/>
                      <w:lang w:val="en-US" w:eastAsia="zh-CN"/>
                    </w:rPr>
                    <w:t>淬火</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5</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sz w:val="21"/>
                      <w:szCs w:val="21"/>
                      <w:highlight w:val="none"/>
                      <w:lang w:val="en-US" w:eastAsia="zh-CN"/>
                    </w:rPr>
                    <w:t>3</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-2</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生产车间</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2</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井式渗</w:t>
                  </w:r>
                  <w:r>
                    <w:rPr>
                      <w:rFonts w:hint="eastAsia" w:eastAsia="仿宋" w:cs="Times New Roman"/>
                      <w:i w:val="0"/>
                      <w:color w:val="000000"/>
                      <w:kern w:val="0"/>
                      <w:sz w:val="21"/>
                      <w:szCs w:val="21"/>
                      <w:u w:val="none"/>
                      <w:lang w:val="en-US" w:eastAsia="zh-CN" w:bidi="ar"/>
                    </w:rPr>
                    <w:t>炭</w:t>
                  </w:r>
                  <w:r>
                    <w:rPr>
                      <w:rFonts w:hint="default" w:ascii="Times New Roman" w:hAnsi="Times New Roman" w:eastAsia="仿宋" w:cs="Times New Roman"/>
                      <w:i w:val="0"/>
                      <w:color w:val="000000"/>
                      <w:kern w:val="0"/>
                      <w:sz w:val="21"/>
                      <w:szCs w:val="21"/>
                      <w:u w:val="none"/>
                      <w:lang w:val="en-US" w:eastAsia="zh-CN" w:bidi="ar"/>
                    </w:rPr>
                    <w:t>炉</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7</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bidi="ar-SA"/>
                    </w:rPr>
                    <w:t>0</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-7</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3</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井式淬火炉</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淬火</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0</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bidi="ar-SA"/>
                    </w:rPr>
                    <w:t>7</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+7</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生产车间</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4</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盐浴炉</w:t>
                  </w:r>
                  <w:r>
                    <w:rPr>
                      <w:rFonts w:hint="eastAsia" w:eastAsia="仿宋" w:cs="Times New Roman"/>
                      <w:i w:val="0"/>
                      <w:color w:val="000000"/>
                      <w:kern w:val="0"/>
                      <w:sz w:val="21"/>
                      <w:szCs w:val="21"/>
                      <w:u w:val="none"/>
                      <w:vertAlign w:val="superscript"/>
                      <w:lang w:val="en-US" w:eastAsia="zh-CN" w:bidi="ar"/>
                    </w:rPr>
                    <w:t>②</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1</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sz w:val="21"/>
                      <w:szCs w:val="21"/>
                      <w:highlight w:val="none"/>
                      <w:lang w:val="en-US" w:eastAsia="zh-CN"/>
                    </w:rPr>
                    <w:t>0</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-1</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5</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多用炉</w:t>
                  </w:r>
                  <w:r>
                    <w:rPr>
                      <w:rFonts w:hint="eastAsia" w:eastAsia="仿宋" w:cs="Times New Roman"/>
                      <w:i w:val="0"/>
                      <w:color w:val="000000"/>
                      <w:kern w:val="0"/>
                      <w:sz w:val="21"/>
                      <w:szCs w:val="21"/>
                      <w:u w:val="none"/>
                      <w:vertAlign w:val="superscript"/>
                      <w:lang w:val="en-US" w:eastAsia="zh-CN" w:bidi="ar"/>
                    </w:rPr>
                    <w:t>②</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1</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0</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6</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冷却油池</w:t>
                  </w:r>
                  <w:r>
                    <w:rPr>
                      <w:rFonts w:hint="eastAsia" w:eastAsia="仿宋" w:cs="Times New Roman"/>
                      <w:i w:val="0"/>
                      <w:color w:val="000000"/>
                      <w:kern w:val="0"/>
                      <w:sz w:val="21"/>
                      <w:szCs w:val="21"/>
                      <w:u w:val="none"/>
                      <w:vertAlign w:val="superscript"/>
                      <w:lang w:val="en-US" w:eastAsia="zh-CN" w:bidi="ar"/>
                    </w:rPr>
                    <w:t>①</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2.9×1.5×2m</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淬火</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3</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bidi="ar-SA"/>
                    </w:rPr>
                  </w:pPr>
                  <w:r>
                    <w:rPr>
                      <w:rFonts w:hint="default" w:ascii="Times New Roman" w:hAnsi="Times New Roman" w:eastAsia="仿宋" w:cs="Times New Roman"/>
                      <w:color w:val="000000"/>
                      <w:kern w:val="0"/>
                      <w:sz w:val="21"/>
                      <w:szCs w:val="21"/>
                      <w:highlight w:val="none"/>
                      <w:lang w:val="en-US" w:eastAsia="zh-CN"/>
                    </w:rPr>
                    <w:t>1</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-2</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生产车间</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7</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冷却水池</w:t>
                  </w:r>
                  <w:r>
                    <w:rPr>
                      <w:rFonts w:hint="eastAsia" w:eastAsia="仿宋" w:cs="Times New Roman"/>
                      <w:i w:val="0"/>
                      <w:color w:val="000000"/>
                      <w:kern w:val="0"/>
                      <w:sz w:val="21"/>
                      <w:szCs w:val="21"/>
                      <w:u w:val="none"/>
                      <w:vertAlign w:val="superscript"/>
                      <w:lang w:val="en-US" w:eastAsia="zh-CN" w:bidi="ar"/>
                    </w:rPr>
                    <w:t>①</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5×3.2×2m</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淬火</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2</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1</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-1</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生产车间</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8</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井式回火炉</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回火</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6</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4</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-2</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生产车间</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9</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退火炉</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3</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-3</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10</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网带炉</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淬火</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2</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2</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生产车间</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11</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压床</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冲压</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6</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-5</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生产车间</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12</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氮化炉</w:t>
                  </w:r>
                  <w:r>
                    <w:rPr>
                      <w:rFonts w:hint="eastAsia" w:eastAsia="仿宋" w:cs="Times New Roman"/>
                      <w:i w:val="0"/>
                      <w:color w:val="000000"/>
                      <w:kern w:val="0"/>
                      <w:sz w:val="21"/>
                      <w:szCs w:val="21"/>
                      <w:u w:val="none"/>
                      <w:vertAlign w:val="superscript"/>
                      <w:lang w:val="en-US" w:eastAsia="zh-CN" w:bidi="ar"/>
                    </w:rPr>
                    <w:t>②</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1</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13</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数控车床</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4</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-4</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14</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仪表车床</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25</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-25</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15</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钻床</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8</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-8</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16</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搓丝机</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2</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-2</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r>
            <w:tr>
              <w:tblPrEx>
                <w:tblCellMar>
                  <w:top w:w="0" w:type="dxa"/>
                  <w:left w:w="108" w:type="dxa"/>
                  <w:bottom w:w="0" w:type="dxa"/>
                  <w:right w:w="108" w:type="dxa"/>
                </w:tblCellMar>
              </w:tblPrEx>
              <w:trPr>
                <w:trHeight w:val="36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17</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割料机</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2</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-2</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w:t>
                  </w:r>
                </w:p>
              </w:tc>
            </w:tr>
            <w:tr>
              <w:tblPrEx>
                <w:tblCellMar>
                  <w:top w:w="0" w:type="dxa"/>
                  <w:left w:w="108" w:type="dxa"/>
                  <w:bottom w:w="0" w:type="dxa"/>
                  <w:right w:w="108" w:type="dxa"/>
                </w:tblCellMar>
              </w:tblPrEx>
              <w:trPr>
                <w:trHeight w:val="38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18</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试压机</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1</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0</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w:t>
                  </w:r>
                </w:p>
              </w:tc>
            </w:tr>
            <w:tr>
              <w:tblPrEx>
                <w:tblCellMar>
                  <w:top w:w="0" w:type="dxa"/>
                  <w:left w:w="108" w:type="dxa"/>
                  <w:bottom w:w="0" w:type="dxa"/>
                  <w:right w:w="108" w:type="dxa"/>
                </w:tblCellMar>
              </w:tblPrEx>
              <w:trPr>
                <w:trHeight w:val="384"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19</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冷却盐水池</w:t>
                  </w:r>
                </w:p>
              </w:tc>
              <w:tc>
                <w:tcPr>
                  <w:tcW w:w="7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3×2×2m</w:t>
                  </w:r>
                </w:p>
              </w:tc>
              <w:tc>
                <w:tcPr>
                  <w:tcW w:w="3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淬火</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1</w:t>
                  </w:r>
                </w:p>
              </w:tc>
              <w:tc>
                <w:tcPr>
                  <w:tcW w:w="7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1</w:t>
                  </w:r>
                </w:p>
              </w:tc>
              <w:tc>
                <w:tcPr>
                  <w:tcW w:w="7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0</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生产车间内</w:t>
                  </w:r>
                </w:p>
              </w:tc>
            </w:tr>
          </w:tbl>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eastAsia" w:eastAsia="仿宋" w:cs="Times New Roman"/>
                <w:b/>
                <w:bCs/>
                <w:kern w:val="0"/>
                <w:sz w:val="21"/>
                <w:szCs w:val="21"/>
                <w:lang w:val="en-US" w:eastAsia="zh-CN"/>
              </w:rPr>
            </w:pPr>
            <w:r>
              <w:rPr>
                <w:rFonts w:hint="eastAsia" w:eastAsia="仿宋" w:cs="Times New Roman"/>
                <w:b/>
                <w:bCs/>
                <w:kern w:val="0"/>
                <w:sz w:val="21"/>
                <w:szCs w:val="21"/>
                <w:lang w:val="en-US" w:eastAsia="zh-CN"/>
              </w:rPr>
              <w:t>注:①实际生产过程中冷却油池放置在冷却水池中，利用冷却水池来给整体油池降温；</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default" w:ascii="Times New Roman" w:hAnsi="Times New Roman" w:eastAsia="仿宋" w:cs="Times New Roman"/>
                <w:b/>
                <w:bCs/>
                <w:kern w:val="0"/>
                <w:sz w:val="21"/>
                <w:szCs w:val="21"/>
                <w:lang w:val="en-US" w:eastAsia="zh-CN"/>
              </w:rPr>
            </w:pPr>
            <w:r>
              <w:rPr>
                <w:rFonts w:hint="eastAsia" w:eastAsia="仿宋" w:cs="Times New Roman"/>
                <w:b/>
                <w:bCs/>
                <w:kern w:val="0"/>
                <w:sz w:val="21"/>
                <w:szCs w:val="21"/>
                <w:lang w:val="en-US" w:eastAsia="zh-CN"/>
              </w:rPr>
              <w:t>②原有项目金属件淬火过程中，由于部分金属件需要进行特殊淬火，如氮化炉，盐浴炉等，现由于来料加工发生变化，现加工的金属件仅需通过一般淬火即可（如井式淬火炉、网带炉等），且原厂址设备目前已全部拆除。</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5.工程组成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表2-5 工程组成一览表</w:t>
            </w:r>
          </w:p>
          <w:tbl>
            <w:tblPr>
              <w:tblStyle w:val="17"/>
              <w:tblW w:w="8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799"/>
              <w:gridCol w:w="801"/>
              <w:gridCol w:w="4355"/>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类别</w:t>
                  </w:r>
                </w:p>
              </w:tc>
              <w:tc>
                <w:tcPr>
                  <w:tcW w:w="1600" w:type="dxa"/>
                  <w:gridSpan w:val="2"/>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建设名称</w:t>
                  </w:r>
                </w:p>
              </w:tc>
              <w:tc>
                <w:tcPr>
                  <w:tcW w:w="4355"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本项目情况</w:t>
                  </w:r>
                </w:p>
              </w:tc>
              <w:tc>
                <w:tcPr>
                  <w:tcW w:w="1296"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b/>
                      <w:bCs/>
                      <w:color w:val="000000"/>
                      <w:kern w:val="0"/>
                      <w:sz w:val="21"/>
                      <w:szCs w:val="21"/>
                      <w:highlight w:val="none"/>
                    </w:rPr>
                  </w:pPr>
                  <w:r>
                    <w:rPr>
                      <w:rFonts w:hint="default" w:ascii="Times New Roman" w:hAnsi="Times New Roman" w:eastAsia="仿宋" w:cs="Times New Roman"/>
                      <w:b/>
                      <w:bCs/>
                      <w:color w:val="000000"/>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88"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主体工程</w:t>
                  </w:r>
                </w:p>
              </w:tc>
              <w:tc>
                <w:tcPr>
                  <w:tcW w:w="160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eastAsia="zh-CN"/>
                    </w:rPr>
                  </w:pPr>
                  <w:r>
                    <w:rPr>
                      <w:rFonts w:hint="default" w:ascii="Times New Roman" w:hAnsi="Times New Roman" w:eastAsia="仿宋" w:cs="Times New Roman"/>
                      <w:color w:val="000000"/>
                      <w:kern w:val="0"/>
                      <w:sz w:val="21"/>
                      <w:szCs w:val="21"/>
                      <w:highlight w:val="none"/>
                      <w:lang w:val="en-US" w:eastAsia="zh-CN"/>
                    </w:rPr>
                    <w:t>生产车间</w:t>
                  </w:r>
                </w:p>
              </w:tc>
              <w:tc>
                <w:tcPr>
                  <w:tcW w:w="4355" w:type="dxa"/>
                  <w:tcBorders>
                    <w:top w:val="single" w:color="auto" w:sz="4" w:space="0"/>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占地面积约为</w:t>
                  </w:r>
                  <w:r>
                    <w:rPr>
                      <w:rFonts w:hint="default" w:ascii="Times New Roman" w:hAnsi="Times New Roman" w:eastAsia="仿宋" w:cs="Times New Roman"/>
                      <w:color w:val="000000"/>
                      <w:kern w:val="0"/>
                      <w:sz w:val="21"/>
                      <w:szCs w:val="21"/>
                      <w:highlight w:val="none"/>
                      <w:lang w:val="en-US" w:eastAsia="zh-CN"/>
                    </w:rPr>
                    <w:t>800</w:t>
                  </w:r>
                  <w:r>
                    <w:rPr>
                      <w:rFonts w:hint="default" w:ascii="Times New Roman" w:hAnsi="Times New Roman" w:eastAsia="仿宋" w:cs="Times New Roman"/>
                      <w:color w:val="000000"/>
                      <w:kern w:val="0"/>
                      <w:sz w:val="21"/>
                      <w:szCs w:val="21"/>
                      <w:highlight w:val="none"/>
                    </w:rPr>
                    <w:t>m</w:t>
                  </w:r>
                  <w:r>
                    <w:rPr>
                      <w:rFonts w:hint="default" w:ascii="Times New Roman" w:hAnsi="Times New Roman" w:eastAsia="仿宋" w:cs="Times New Roman"/>
                      <w:color w:val="000000"/>
                      <w:kern w:val="0"/>
                      <w:sz w:val="21"/>
                      <w:szCs w:val="21"/>
                      <w:highlight w:val="none"/>
                      <w:vertAlign w:val="superscript"/>
                    </w:rPr>
                    <w:t>2</w:t>
                  </w:r>
                  <w:r>
                    <w:rPr>
                      <w:rFonts w:hint="default" w:ascii="Times New Roman" w:hAnsi="Times New Roman" w:eastAsia="仿宋" w:cs="Times New Roman"/>
                      <w:sz w:val="21"/>
                      <w:szCs w:val="21"/>
                      <w:lang w:eastAsia="zh-CN"/>
                    </w:rPr>
                    <w:t>，</w:t>
                  </w:r>
                </w:p>
              </w:tc>
              <w:tc>
                <w:tcPr>
                  <w:tcW w:w="1296" w:type="dxa"/>
                  <w:vMerge w:val="restart"/>
                  <w:tcBorders>
                    <w:top w:val="single" w:color="auto" w:sz="4" w:space="0"/>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lang w:eastAsia="zh-CN"/>
                    </w:rPr>
                  </w:pPr>
                  <w:r>
                    <w:rPr>
                      <w:rFonts w:hint="default" w:ascii="Times New Roman" w:hAnsi="Times New Roman" w:eastAsia="仿宋" w:cs="Times New Roman"/>
                      <w:color w:val="000000"/>
                      <w:kern w:val="0"/>
                      <w:sz w:val="21"/>
                      <w:szCs w:val="21"/>
                      <w:highlight w:val="none"/>
                    </w:rPr>
                    <w:t>依托</w:t>
                  </w:r>
                  <w:r>
                    <w:rPr>
                      <w:rFonts w:hint="default" w:ascii="Times New Roman" w:hAnsi="Times New Roman" w:eastAsia="仿宋" w:cs="Times New Roman"/>
                      <w:color w:val="000000"/>
                      <w:kern w:val="0"/>
                      <w:sz w:val="21"/>
                      <w:szCs w:val="21"/>
                      <w:highlight w:val="none"/>
                      <w:lang w:val="en-US" w:eastAsia="zh-CN"/>
                    </w:rPr>
                    <w:t>出租方</w:t>
                  </w:r>
                  <w:r>
                    <w:rPr>
                      <w:rFonts w:hint="default" w:ascii="Times New Roman" w:hAnsi="Times New Roman" w:eastAsia="仿宋" w:cs="Times New Roman"/>
                      <w:color w:val="000000"/>
                      <w:kern w:val="0"/>
                      <w:sz w:val="21"/>
                      <w:szCs w:val="21"/>
                      <w:highlight w:val="none"/>
                    </w:rPr>
                    <w:t>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88" w:type="dxa"/>
                  <w:vMerge w:val="restart"/>
                  <w:tcBorders>
                    <w:top w:val="single" w:color="auto" w:sz="4" w:space="0"/>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贮运工程</w:t>
                  </w:r>
                </w:p>
              </w:tc>
              <w:tc>
                <w:tcPr>
                  <w:tcW w:w="160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仿宋" w:cs="Times New Roman"/>
                      <w:color w:val="000000"/>
                      <w:kern w:val="0"/>
                      <w:sz w:val="21"/>
                      <w:szCs w:val="21"/>
                      <w:highlight w:val="none"/>
                      <w:lang w:eastAsia="zh-CN"/>
                    </w:rPr>
                  </w:pPr>
                  <w:r>
                    <w:rPr>
                      <w:rFonts w:hint="default" w:ascii="Times New Roman" w:hAnsi="Times New Roman" w:eastAsia="仿宋" w:cs="Times New Roman"/>
                      <w:color w:val="000000"/>
                      <w:kern w:val="0"/>
                      <w:sz w:val="21"/>
                      <w:szCs w:val="21"/>
                      <w:highlight w:val="none"/>
                    </w:rPr>
                    <w:t>原</w:t>
                  </w:r>
                  <w:r>
                    <w:rPr>
                      <w:rFonts w:hint="eastAsia" w:eastAsia="仿宋" w:cs="Times New Roman"/>
                      <w:color w:val="000000"/>
                      <w:kern w:val="0"/>
                      <w:sz w:val="21"/>
                      <w:szCs w:val="21"/>
                      <w:highlight w:val="none"/>
                      <w:lang w:val="en-US" w:eastAsia="zh-CN"/>
                    </w:rPr>
                    <w:t>辅</w:t>
                  </w:r>
                  <w:r>
                    <w:rPr>
                      <w:rFonts w:hint="default" w:ascii="Times New Roman" w:hAnsi="Times New Roman" w:eastAsia="仿宋" w:cs="Times New Roman"/>
                      <w:color w:val="000000"/>
                      <w:kern w:val="0"/>
                      <w:sz w:val="21"/>
                      <w:szCs w:val="21"/>
                      <w:highlight w:val="none"/>
                    </w:rPr>
                    <w:t>料</w:t>
                  </w:r>
                  <w:r>
                    <w:rPr>
                      <w:rFonts w:hint="eastAsia" w:eastAsia="仿宋" w:cs="Times New Roman"/>
                      <w:color w:val="000000"/>
                      <w:kern w:val="0"/>
                      <w:sz w:val="21"/>
                      <w:szCs w:val="21"/>
                      <w:highlight w:val="none"/>
                      <w:lang w:val="en-US" w:eastAsia="zh-CN"/>
                    </w:rPr>
                    <w:t>堆放区</w:t>
                  </w:r>
                </w:p>
              </w:tc>
              <w:tc>
                <w:tcPr>
                  <w:tcW w:w="4355"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rPr>
                    <w:t>占地面积约</w:t>
                  </w:r>
                  <w:r>
                    <w:rPr>
                      <w:rFonts w:hint="default" w:ascii="Times New Roman" w:hAnsi="Times New Roman" w:eastAsia="仿宋" w:cs="Times New Roman"/>
                      <w:color w:val="000000"/>
                      <w:kern w:val="0"/>
                      <w:sz w:val="21"/>
                      <w:szCs w:val="21"/>
                      <w:highlight w:val="none"/>
                      <w:lang w:val="en-US" w:eastAsia="zh-CN"/>
                    </w:rPr>
                    <w:t>40</w:t>
                  </w:r>
                  <w:r>
                    <w:rPr>
                      <w:rFonts w:hint="default" w:ascii="Times New Roman" w:hAnsi="Times New Roman" w:eastAsia="仿宋" w:cs="Times New Roman"/>
                      <w:color w:val="000000"/>
                      <w:kern w:val="0"/>
                      <w:sz w:val="21"/>
                      <w:szCs w:val="21"/>
                      <w:highlight w:val="none"/>
                    </w:rPr>
                    <w:t>m</w:t>
                  </w:r>
                  <w:r>
                    <w:rPr>
                      <w:rFonts w:hint="default" w:ascii="Times New Roman" w:hAnsi="Times New Roman" w:eastAsia="仿宋" w:cs="Times New Roman"/>
                      <w:color w:val="000000"/>
                      <w:kern w:val="0"/>
                      <w:sz w:val="21"/>
                      <w:szCs w:val="21"/>
                      <w:highlight w:val="none"/>
                      <w:vertAlign w:val="superscript"/>
                    </w:rPr>
                    <w:t>2</w:t>
                  </w:r>
                  <w:r>
                    <w:rPr>
                      <w:rFonts w:hint="default" w:ascii="Times New Roman" w:hAnsi="Times New Roman" w:eastAsia="仿宋" w:cs="Times New Roman"/>
                      <w:color w:val="000000"/>
                      <w:kern w:val="0"/>
                      <w:sz w:val="21"/>
                      <w:szCs w:val="21"/>
                      <w:highlight w:val="none"/>
                      <w:vertAlign w:val="baseline"/>
                      <w:lang w:eastAsia="zh-CN"/>
                    </w:rPr>
                    <w:t>，</w:t>
                  </w:r>
                  <w:r>
                    <w:rPr>
                      <w:rFonts w:hint="default" w:ascii="Times New Roman" w:hAnsi="Times New Roman" w:eastAsia="仿宋" w:cs="Times New Roman"/>
                      <w:color w:val="000000"/>
                      <w:kern w:val="0"/>
                      <w:sz w:val="21"/>
                      <w:szCs w:val="21"/>
                      <w:highlight w:val="none"/>
                      <w:vertAlign w:val="baseline"/>
                      <w:lang w:val="en-US" w:eastAsia="zh-CN"/>
                    </w:rPr>
                    <w:t>位于生产车</w:t>
                  </w:r>
                  <w:r>
                    <w:rPr>
                      <w:rFonts w:hint="eastAsia" w:eastAsia="仿宋" w:cs="Times New Roman"/>
                      <w:color w:val="000000"/>
                      <w:kern w:val="0"/>
                      <w:sz w:val="21"/>
                      <w:szCs w:val="21"/>
                      <w:highlight w:val="none"/>
                      <w:vertAlign w:val="baseline"/>
                      <w:lang w:val="en-US" w:eastAsia="zh-CN"/>
                    </w:rPr>
                    <w:t>间内东北角</w:t>
                  </w:r>
                </w:p>
              </w:tc>
              <w:tc>
                <w:tcPr>
                  <w:tcW w:w="1296" w:type="dxa"/>
                  <w:vMerge w:val="continue"/>
                  <w:tcBorders>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88" w:type="dxa"/>
                  <w:vMerge w:val="continue"/>
                  <w:tcBorders>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p>
              </w:tc>
              <w:tc>
                <w:tcPr>
                  <w:tcW w:w="160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半成品流转区</w:t>
                  </w:r>
                </w:p>
              </w:tc>
              <w:tc>
                <w:tcPr>
                  <w:tcW w:w="4355"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占地面积约</w:t>
                  </w:r>
                  <w:r>
                    <w:rPr>
                      <w:rFonts w:hint="eastAsia" w:eastAsia="仿宋" w:cs="Times New Roman"/>
                      <w:color w:val="000000"/>
                      <w:kern w:val="0"/>
                      <w:sz w:val="21"/>
                      <w:szCs w:val="21"/>
                      <w:highlight w:val="none"/>
                      <w:lang w:val="en-US" w:eastAsia="zh-CN"/>
                    </w:rPr>
                    <w:t>10</w:t>
                  </w:r>
                  <w:r>
                    <w:rPr>
                      <w:rFonts w:hint="default" w:ascii="Times New Roman" w:hAnsi="Times New Roman" w:eastAsia="仿宋" w:cs="Times New Roman"/>
                      <w:color w:val="000000"/>
                      <w:kern w:val="0"/>
                      <w:sz w:val="21"/>
                      <w:szCs w:val="21"/>
                      <w:highlight w:val="none"/>
                      <w:lang w:val="en-US" w:eastAsia="zh-CN"/>
                    </w:rPr>
                    <w:t>0</w:t>
                  </w:r>
                  <w:r>
                    <w:rPr>
                      <w:rFonts w:hint="default" w:ascii="Times New Roman" w:hAnsi="Times New Roman" w:eastAsia="仿宋" w:cs="Times New Roman"/>
                      <w:color w:val="000000"/>
                      <w:kern w:val="0"/>
                      <w:sz w:val="21"/>
                      <w:szCs w:val="21"/>
                      <w:highlight w:val="none"/>
                    </w:rPr>
                    <w:t>m</w:t>
                  </w:r>
                  <w:r>
                    <w:rPr>
                      <w:rFonts w:hint="default" w:ascii="Times New Roman" w:hAnsi="Times New Roman" w:eastAsia="仿宋" w:cs="Times New Roman"/>
                      <w:color w:val="000000"/>
                      <w:kern w:val="0"/>
                      <w:sz w:val="21"/>
                      <w:szCs w:val="21"/>
                      <w:highlight w:val="none"/>
                      <w:vertAlign w:val="superscript"/>
                    </w:rPr>
                    <w:t>2</w:t>
                  </w:r>
                  <w:r>
                    <w:rPr>
                      <w:rFonts w:hint="default" w:ascii="Times New Roman" w:hAnsi="Times New Roman" w:eastAsia="仿宋" w:cs="Times New Roman"/>
                      <w:color w:val="000000"/>
                      <w:kern w:val="0"/>
                      <w:sz w:val="21"/>
                      <w:szCs w:val="21"/>
                      <w:highlight w:val="none"/>
                      <w:vertAlign w:val="baseline"/>
                      <w:lang w:eastAsia="zh-CN"/>
                    </w:rPr>
                    <w:t>，</w:t>
                  </w:r>
                  <w:r>
                    <w:rPr>
                      <w:rFonts w:hint="default" w:ascii="Times New Roman" w:hAnsi="Times New Roman" w:eastAsia="仿宋" w:cs="Times New Roman"/>
                      <w:color w:val="000000"/>
                      <w:kern w:val="0"/>
                      <w:sz w:val="21"/>
                      <w:szCs w:val="21"/>
                      <w:highlight w:val="none"/>
                      <w:vertAlign w:val="baseline"/>
                      <w:lang w:val="en-US" w:eastAsia="zh-CN"/>
                    </w:rPr>
                    <w:t>位于生产车</w:t>
                  </w:r>
                  <w:r>
                    <w:rPr>
                      <w:rFonts w:hint="eastAsia" w:eastAsia="仿宋" w:cs="Times New Roman"/>
                      <w:color w:val="000000"/>
                      <w:kern w:val="0"/>
                      <w:sz w:val="21"/>
                      <w:szCs w:val="21"/>
                      <w:highlight w:val="none"/>
                      <w:vertAlign w:val="baseline"/>
                      <w:lang w:val="en-US" w:eastAsia="zh-CN"/>
                    </w:rPr>
                    <w:t>间内</w:t>
                  </w:r>
                </w:p>
              </w:tc>
              <w:tc>
                <w:tcPr>
                  <w:tcW w:w="1296" w:type="dxa"/>
                  <w:vMerge w:val="continue"/>
                  <w:tcBorders>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88" w:type="dxa"/>
                  <w:vMerge w:val="continue"/>
                  <w:tcBorders>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p>
              </w:tc>
              <w:tc>
                <w:tcPr>
                  <w:tcW w:w="160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危化品库</w:t>
                  </w:r>
                </w:p>
              </w:tc>
              <w:tc>
                <w:tcPr>
                  <w:tcW w:w="4355"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占地约为5</w:t>
                  </w:r>
                  <w:r>
                    <w:rPr>
                      <w:rFonts w:hint="default" w:ascii="Times New Roman" w:hAnsi="Times New Roman" w:eastAsia="仿宋" w:cs="Times New Roman"/>
                      <w:color w:val="000000"/>
                      <w:kern w:val="0"/>
                      <w:sz w:val="21"/>
                      <w:szCs w:val="21"/>
                      <w:highlight w:val="none"/>
                    </w:rPr>
                    <w:t>m</w:t>
                  </w:r>
                  <w:r>
                    <w:rPr>
                      <w:rFonts w:hint="default" w:ascii="Times New Roman" w:hAnsi="Times New Roman" w:eastAsia="仿宋" w:cs="Times New Roman"/>
                      <w:color w:val="000000"/>
                      <w:kern w:val="0"/>
                      <w:sz w:val="21"/>
                      <w:szCs w:val="21"/>
                      <w:highlight w:val="none"/>
                      <w:vertAlign w:val="superscript"/>
                    </w:rPr>
                    <w:t>2</w:t>
                  </w:r>
                  <w:r>
                    <w:rPr>
                      <w:rFonts w:hint="default" w:ascii="Times New Roman" w:hAnsi="Times New Roman" w:eastAsia="仿宋" w:cs="Times New Roman"/>
                      <w:color w:val="000000"/>
                      <w:kern w:val="0"/>
                      <w:sz w:val="21"/>
                      <w:szCs w:val="21"/>
                      <w:highlight w:val="none"/>
                      <w:vertAlign w:val="baseline"/>
                      <w:lang w:eastAsia="zh-CN"/>
                    </w:rPr>
                    <w:t>，</w:t>
                  </w:r>
                  <w:r>
                    <w:rPr>
                      <w:rFonts w:hint="eastAsia" w:eastAsia="仿宋" w:cs="Times New Roman"/>
                      <w:color w:val="000000"/>
                      <w:kern w:val="0"/>
                      <w:sz w:val="21"/>
                      <w:szCs w:val="21"/>
                      <w:highlight w:val="none"/>
                      <w:vertAlign w:val="baseline"/>
                      <w:lang w:val="en-US" w:eastAsia="zh-CN"/>
                    </w:rPr>
                    <w:t>位于生产车间内西南角</w:t>
                  </w:r>
                </w:p>
              </w:tc>
              <w:tc>
                <w:tcPr>
                  <w:tcW w:w="1296" w:type="dxa"/>
                  <w:vMerge w:val="continue"/>
                  <w:tcBorders>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188" w:type="dxa"/>
                  <w:vMerge w:val="restart"/>
                  <w:tcBorders>
                    <w:top w:val="single" w:color="auto" w:sz="4" w:space="0"/>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公用工程</w:t>
                  </w:r>
                </w:p>
              </w:tc>
              <w:tc>
                <w:tcPr>
                  <w:tcW w:w="799" w:type="dxa"/>
                  <w:vMerge w:val="restart"/>
                  <w:tcBorders>
                    <w:top w:val="single" w:color="auto" w:sz="4" w:space="0"/>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给水</w:t>
                  </w:r>
                </w:p>
              </w:tc>
              <w:tc>
                <w:tcPr>
                  <w:tcW w:w="80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sz w:val="21"/>
                      <w:szCs w:val="21"/>
                      <w:highlight w:val="none"/>
                    </w:rPr>
                    <w:t>生活用水</w:t>
                  </w:r>
                </w:p>
              </w:tc>
              <w:tc>
                <w:tcPr>
                  <w:tcW w:w="4355"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本项目生活用水</w:t>
                  </w:r>
                  <w:r>
                    <w:rPr>
                      <w:rFonts w:hint="default" w:ascii="Times New Roman" w:hAnsi="Times New Roman" w:eastAsia="仿宋" w:cs="Times New Roman"/>
                      <w:color w:val="000000"/>
                      <w:kern w:val="0"/>
                      <w:sz w:val="21"/>
                      <w:szCs w:val="21"/>
                      <w:highlight w:val="none"/>
                      <w:lang w:val="en-US" w:eastAsia="zh-CN"/>
                    </w:rPr>
                    <w:t>240</w:t>
                  </w:r>
                  <w:r>
                    <w:rPr>
                      <w:rFonts w:hint="default" w:ascii="Times New Roman" w:hAnsi="Times New Roman" w:eastAsia="仿宋" w:cs="Times New Roman"/>
                      <w:color w:val="000000"/>
                      <w:kern w:val="0"/>
                      <w:sz w:val="21"/>
                      <w:szCs w:val="21"/>
                      <w:highlight w:val="none"/>
                    </w:rPr>
                    <w:t>m</w:t>
                  </w:r>
                  <w:r>
                    <w:rPr>
                      <w:rFonts w:hint="default" w:ascii="Times New Roman" w:hAnsi="Times New Roman" w:eastAsia="仿宋" w:cs="Times New Roman"/>
                      <w:color w:val="000000"/>
                      <w:kern w:val="0"/>
                      <w:sz w:val="21"/>
                      <w:szCs w:val="21"/>
                      <w:highlight w:val="none"/>
                      <w:vertAlign w:val="superscript"/>
                    </w:rPr>
                    <w:t>3</w:t>
                  </w:r>
                  <w:r>
                    <w:rPr>
                      <w:rFonts w:hint="default" w:ascii="Times New Roman" w:hAnsi="Times New Roman" w:eastAsia="仿宋" w:cs="Times New Roman"/>
                      <w:color w:val="000000"/>
                      <w:kern w:val="0"/>
                      <w:sz w:val="21"/>
                      <w:szCs w:val="21"/>
                      <w:highlight w:val="none"/>
                    </w:rPr>
                    <w:t>/a，由市政自来水管网供给。</w:t>
                  </w:r>
                </w:p>
              </w:tc>
              <w:tc>
                <w:tcPr>
                  <w:tcW w:w="1296" w:type="dxa"/>
                  <w:vMerge w:val="restart"/>
                  <w:tcBorders>
                    <w:top w:val="single" w:color="auto" w:sz="4" w:space="0"/>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依托</w:t>
                  </w:r>
                  <w:r>
                    <w:rPr>
                      <w:rFonts w:hint="default" w:ascii="Times New Roman" w:hAnsi="Times New Roman" w:eastAsia="仿宋" w:cs="Times New Roman"/>
                      <w:color w:val="000000"/>
                      <w:kern w:val="0"/>
                      <w:sz w:val="21"/>
                      <w:szCs w:val="21"/>
                      <w:highlight w:val="none"/>
                      <w:lang w:val="en-US" w:eastAsia="zh-CN"/>
                    </w:rPr>
                    <w:t>出租方</w:t>
                  </w:r>
                  <w:r>
                    <w:rPr>
                      <w:rFonts w:hint="default" w:ascii="Times New Roman" w:hAnsi="Times New Roman" w:eastAsia="仿宋" w:cs="Times New Roman"/>
                      <w:color w:val="000000"/>
                      <w:kern w:val="0"/>
                      <w:sz w:val="21"/>
                      <w:szCs w:val="21"/>
                      <w:highlight w:val="none"/>
                    </w:rPr>
                    <w:t>已有管网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188" w:type="dxa"/>
                  <w:vMerge w:val="continue"/>
                  <w:tcBorders>
                    <w:left w:val="single" w:color="auto" w:sz="4" w:space="0"/>
                    <w:right w:val="single" w:color="auto" w:sz="4" w:space="0"/>
                  </w:tcBorders>
                  <w:noWrap w:val="0"/>
                  <w:vAlign w:val="center"/>
                </w:tcPr>
                <w:p>
                  <w:pPr>
                    <w:pStyle w:val="40"/>
                  </w:pPr>
                </w:p>
              </w:tc>
              <w:tc>
                <w:tcPr>
                  <w:tcW w:w="799" w:type="dxa"/>
                  <w:vMerge w:val="continue"/>
                  <w:tcBorders>
                    <w:left w:val="single" w:color="auto" w:sz="4" w:space="0"/>
                    <w:right w:val="single" w:color="auto" w:sz="4" w:space="0"/>
                  </w:tcBorders>
                  <w:noWrap w:val="0"/>
                  <w:vAlign w:val="center"/>
                </w:tcPr>
                <w:p>
                  <w:pPr>
                    <w:pStyle w:val="40"/>
                  </w:pPr>
                </w:p>
              </w:tc>
              <w:tc>
                <w:tcPr>
                  <w:tcW w:w="801" w:type="dxa"/>
                  <w:tcBorders>
                    <w:top w:val="single" w:color="auto" w:sz="4" w:space="0"/>
                    <w:left w:val="single" w:color="auto" w:sz="4" w:space="0"/>
                    <w:bottom w:val="single" w:color="auto" w:sz="4" w:space="0"/>
                    <w:right w:val="single" w:color="auto" w:sz="4" w:space="0"/>
                  </w:tcBorders>
                  <w:noWrap w:val="0"/>
                  <w:vAlign w:val="center"/>
                </w:tcPr>
                <w:p>
                  <w:pPr>
                    <w:pStyle w:val="40"/>
                    <w:rPr>
                      <w:rFonts w:hint="eastAsia" w:ascii="Times New Roman" w:hAnsi="Times New Roman" w:eastAsia="仿宋" w:cs="Times New Roman"/>
                      <w:color w:val="000000"/>
                      <w:sz w:val="21"/>
                      <w:szCs w:val="21"/>
                      <w:highlight w:val="none"/>
                      <w:lang w:val="en-US" w:eastAsia="zh-CN"/>
                    </w:rPr>
                  </w:pPr>
                  <w:r>
                    <w:rPr>
                      <w:rFonts w:hint="eastAsia" w:eastAsia="仿宋" w:cs="Times New Roman"/>
                      <w:color w:val="000000"/>
                      <w:sz w:val="21"/>
                      <w:szCs w:val="21"/>
                      <w:highlight w:val="none"/>
                      <w:lang w:val="en-US" w:eastAsia="zh-CN"/>
                    </w:rPr>
                    <w:t>冷却用水</w:t>
                  </w:r>
                </w:p>
              </w:tc>
              <w:tc>
                <w:tcPr>
                  <w:tcW w:w="4355"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sz w:val="21"/>
                      <w:szCs w:val="21"/>
                      <w:highlight w:val="none"/>
                    </w:rPr>
                  </w:pPr>
                  <w:r>
                    <w:rPr>
                      <w:rFonts w:hint="eastAsia" w:eastAsia="仿宋" w:cs="Times New Roman"/>
                      <w:color w:val="000000"/>
                      <w:kern w:val="0"/>
                      <w:sz w:val="21"/>
                      <w:szCs w:val="21"/>
                      <w:highlight w:val="none"/>
                      <w:lang w:val="en-US" w:eastAsia="zh-CN"/>
                    </w:rPr>
                    <w:t>冷却水池、冷却盐水池共补充水30</w:t>
                  </w:r>
                  <w:r>
                    <w:rPr>
                      <w:rFonts w:hint="default" w:ascii="Times New Roman" w:hAnsi="Times New Roman" w:eastAsia="仿宋" w:cs="Times New Roman"/>
                      <w:color w:val="000000"/>
                      <w:kern w:val="0"/>
                      <w:sz w:val="21"/>
                      <w:szCs w:val="21"/>
                      <w:highlight w:val="none"/>
                    </w:rPr>
                    <w:t>m</w:t>
                  </w:r>
                  <w:r>
                    <w:rPr>
                      <w:rFonts w:hint="default" w:ascii="Times New Roman" w:hAnsi="Times New Roman" w:eastAsia="仿宋" w:cs="Times New Roman"/>
                      <w:color w:val="000000"/>
                      <w:kern w:val="0"/>
                      <w:sz w:val="21"/>
                      <w:szCs w:val="21"/>
                      <w:highlight w:val="none"/>
                      <w:vertAlign w:val="superscript"/>
                    </w:rPr>
                    <w:t>3</w:t>
                  </w:r>
                  <w:r>
                    <w:rPr>
                      <w:rFonts w:hint="default" w:ascii="Times New Roman" w:hAnsi="Times New Roman" w:eastAsia="仿宋" w:cs="Times New Roman"/>
                      <w:color w:val="000000"/>
                      <w:kern w:val="0"/>
                      <w:sz w:val="21"/>
                      <w:szCs w:val="21"/>
                      <w:highlight w:val="none"/>
                    </w:rPr>
                    <w:t>/a</w:t>
                  </w:r>
                  <w:r>
                    <w:rPr>
                      <w:rFonts w:hint="eastAsia" w:eastAsia="仿宋" w:cs="Times New Roman"/>
                      <w:color w:val="000000"/>
                      <w:kern w:val="0"/>
                      <w:sz w:val="21"/>
                      <w:szCs w:val="21"/>
                      <w:highlight w:val="none"/>
                      <w:lang w:eastAsia="zh-CN"/>
                    </w:rPr>
                    <w:t>，</w:t>
                  </w:r>
                  <w:r>
                    <w:rPr>
                      <w:rFonts w:hint="default" w:ascii="Times New Roman" w:hAnsi="Times New Roman" w:eastAsia="仿宋" w:cs="Times New Roman"/>
                      <w:color w:val="000000"/>
                      <w:kern w:val="0"/>
                      <w:sz w:val="21"/>
                      <w:szCs w:val="21"/>
                      <w:highlight w:val="none"/>
                    </w:rPr>
                    <w:t>由市政自来水管网供给。</w:t>
                  </w:r>
                </w:p>
              </w:tc>
              <w:tc>
                <w:tcPr>
                  <w:tcW w:w="1296" w:type="dxa"/>
                  <w:vMerge w:val="continue"/>
                  <w:tcBorders>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188" w:type="dxa"/>
                  <w:vMerge w:val="continue"/>
                  <w:tcBorders>
                    <w:left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0"/>
                      <w:sz w:val="21"/>
                      <w:szCs w:val="21"/>
                      <w:highlight w:val="none"/>
                    </w:rPr>
                  </w:pPr>
                </w:p>
              </w:tc>
              <w:tc>
                <w:tcPr>
                  <w:tcW w:w="799" w:type="dxa"/>
                  <w:tcBorders>
                    <w:top w:val="single" w:color="auto" w:sz="4" w:space="0"/>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排水</w:t>
                  </w:r>
                </w:p>
              </w:tc>
              <w:tc>
                <w:tcPr>
                  <w:tcW w:w="80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sz w:val="21"/>
                      <w:szCs w:val="21"/>
                      <w:highlight w:val="none"/>
                    </w:rPr>
                    <w:t>生活污水</w:t>
                  </w:r>
                </w:p>
              </w:tc>
              <w:tc>
                <w:tcPr>
                  <w:tcW w:w="4355" w:type="dxa"/>
                  <w:tcBorders>
                    <w:top w:val="single" w:color="auto" w:sz="4" w:space="0"/>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本项目员工生活污水（</w:t>
                  </w:r>
                  <w:r>
                    <w:rPr>
                      <w:rFonts w:hint="default" w:ascii="Times New Roman" w:hAnsi="Times New Roman" w:eastAsia="仿宋" w:cs="Times New Roman"/>
                      <w:color w:val="000000"/>
                      <w:kern w:val="0"/>
                      <w:sz w:val="21"/>
                      <w:szCs w:val="21"/>
                      <w:highlight w:val="none"/>
                      <w:lang w:val="en-US" w:eastAsia="zh-CN"/>
                    </w:rPr>
                    <w:t>192</w:t>
                  </w:r>
                  <w:r>
                    <w:rPr>
                      <w:rFonts w:hint="default" w:ascii="Times New Roman" w:hAnsi="Times New Roman" w:eastAsia="仿宋" w:cs="Times New Roman"/>
                      <w:color w:val="000000"/>
                      <w:kern w:val="0"/>
                      <w:sz w:val="21"/>
                      <w:szCs w:val="21"/>
                      <w:highlight w:val="none"/>
                    </w:rPr>
                    <w:t>m</w:t>
                  </w:r>
                  <w:r>
                    <w:rPr>
                      <w:rFonts w:hint="default" w:ascii="Times New Roman" w:hAnsi="Times New Roman" w:eastAsia="仿宋" w:cs="Times New Roman"/>
                      <w:color w:val="000000"/>
                      <w:kern w:val="0"/>
                      <w:sz w:val="21"/>
                      <w:szCs w:val="21"/>
                      <w:highlight w:val="none"/>
                      <w:vertAlign w:val="superscript"/>
                    </w:rPr>
                    <w:t>3</w:t>
                  </w:r>
                  <w:r>
                    <w:rPr>
                      <w:rFonts w:hint="default" w:ascii="Times New Roman" w:hAnsi="Times New Roman" w:eastAsia="仿宋" w:cs="Times New Roman"/>
                      <w:color w:val="000000"/>
                      <w:kern w:val="0"/>
                      <w:sz w:val="21"/>
                      <w:szCs w:val="21"/>
                      <w:highlight w:val="none"/>
                    </w:rPr>
                    <w:t>/a）</w:t>
                  </w:r>
                  <w:r>
                    <w:rPr>
                      <w:rFonts w:hint="default" w:ascii="Times New Roman" w:hAnsi="Times New Roman" w:eastAsia="仿宋" w:cs="Times New Roman"/>
                      <w:color w:val="000000"/>
                      <w:kern w:val="0"/>
                      <w:sz w:val="21"/>
                      <w:szCs w:val="21"/>
                      <w:highlight w:val="none"/>
                      <w:lang w:val="en-US" w:eastAsia="zh-CN"/>
                    </w:rPr>
                    <w:t>经化粪池处理后</w:t>
                  </w:r>
                  <w:r>
                    <w:rPr>
                      <w:rFonts w:hint="default" w:ascii="Times New Roman" w:hAnsi="Times New Roman" w:eastAsia="仿宋" w:cs="Times New Roman"/>
                      <w:color w:val="000000"/>
                      <w:kern w:val="0"/>
                      <w:sz w:val="21"/>
                      <w:szCs w:val="21"/>
                      <w:highlight w:val="none"/>
                    </w:rPr>
                    <w:t>接入市政污水管道一并排入</w:t>
                  </w:r>
                  <w:r>
                    <w:rPr>
                      <w:rFonts w:hint="default" w:ascii="Times New Roman" w:hAnsi="Times New Roman" w:eastAsia="仿宋" w:cs="Times New Roman"/>
                      <w:color w:val="000000"/>
                      <w:kern w:val="0"/>
                      <w:sz w:val="21"/>
                      <w:szCs w:val="21"/>
                      <w:highlight w:val="none"/>
                      <w:lang w:val="en-US" w:eastAsia="zh-CN"/>
                    </w:rPr>
                    <w:t>郑陆污水</w:t>
                  </w:r>
                  <w:r>
                    <w:rPr>
                      <w:rFonts w:hint="default" w:ascii="Times New Roman" w:hAnsi="Times New Roman" w:eastAsia="仿宋" w:cs="Times New Roman"/>
                      <w:color w:val="000000"/>
                      <w:kern w:val="0"/>
                      <w:sz w:val="21"/>
                      <w:szCs w:val="21"/>
                      <w:highlight w:val="none"/>
                      <w:lang w:eastAsia="zh-CN"/>
                    </w:rPr>
                    <w:t>处理有限公司</w:t>
                  </w:r>
                  <w:r>
                    <w:rPr>
                      <w:rFonts w:hint="default" w:ascii="Times New Roman" w:hAnsi="Times New Roman" w:eastAsia="仿宋" w:cs="Times New Roman"/>
                      <w:color w:val="000000"/>
                      <w:kern w:val="0"/>
                      <w:sz w:val="21"/>
                      <w:szCs w:val="21"/>
                      <w:highlight w:val="none"/>
                    </w:rPr>
                    <w:t>集中处理，处理达标后排入</w:t>
                  </w:r>
                  <w:r>
                    <w:rPr>
                      <w:rFonts w:hint="default" w:ascii="Times New Roman" w:hAnsi="Times New Roman" w:eastAsia="仿宋" w:cs="Times New Roman"/>
                      <w:color w:val="000000"/>
                      <w:kern w:val="0"/>
                      <w:sz w:val="21"/>
                      <w:szCs w:val="21"/>
                      <w:highlight w:val="none"/>
                      <w:lang w:val="en-US" w:eastAsia="zh-CN"/>
                    </w:rPr>
                    <w:t>舜河</w:t>
                  </w:r>
                  <w:r>
                    <w:rPr>
                      <w:rFonts w:hint="default" w:ascii="Times New Roman" w:hAnsi="Times New Roman" w:eastAsia="仿宋" w:cs="Times New Roman"/>
                      <w:color w:val="000000"/>
                      <w:kern w:val="0"/>
                      <w:sz w:val="21"/>
                      <w:szCs w:val="21"/>
                      <w:highlight w:val="none"/>
                    </w:rPr>
                    <w:t>。</w:t>
                  </w:r>
                </w:p>
              </w:tc>
              <w:tc>
                <w:tcPr>
                  <w:tcW w:w="1296" w:type="dxa"/>
                  <w:tcBorders>
                    <w:top w:val="single" w:color="auto" w:sz="4" w:space="0"/>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依托</w:t>
                  </w:r>
                  <w:r>
                    <w:rPr>
                      <w:rFonts w:hint="default" w:ascii="Times New Roman" w:hAnsi="Times New Roman" w:eastAsia="仿宋" w:cs="Times New Roman"/>
                      <w:color w:val="000000"/>
                      <w:kern w:val="0"/>
                      <w:sz w:val="21"/>
                      <w:szCs w:val="21"/>
                      <w:highlight w:val="none"/>
                      <w:lang w:val="en-US" w:eastAsia="zh-CN"/>
                    </w:rPr>
                    <w:t>出租方</w:t>
                  </w:r>
                  <w:r>
                    <w:rPr>
                      <w:rFonts w:hint="default" w:ascii="Times New Roman" w:hAnsi="Times New Roman" w:eastAsia="仿宋" w:cs="Times New Roman"/>
                      <w:color w:val="000000"/>
                      <w:kern w:val="0"/>
                      <w:sz w:val="21"/>
                      <w:szCs w:val="21"/>
                      <w:highlight w:val="none"/>
                    </w:rPr>
                    <w:t>已有管网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Merge w:val="continue"/>
                  <w:tcBorders>
                    <w:left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0"/>
                      <w:sz w:val="21"/>
                      <w:szCs w:val="21"/>
                      <w:highlight w:val="none"/>
                    </w:rPr>
                  </w:pPr>
                </w:p>
              </w:tc>
              <w:tc>
                <w:tcPr>
                  <w:tcW w:w="1600" w:type="dxa"/>
                  <w:gridSpan w:val="2"/>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供电</w:t>
                  </w:r>
                </w:p>
              </w:tc>
              <w:tc>
                <w:tcPr>
                  <w:tcW w:w="4355"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用电量</w:t>
                  </w:r>
                  <w:r>
                    <w:rPr>
                      <w:rFonts w:hint="default" w:ascii="Times New Roman" w:hAnsi="Times New Roman" w:eastAsia="仿宋" w:cs="Times New Roman"/>
                      <w:color w:val="000000"/>
                      <w:kern w:val="0"/>
                      <w:sz w:val="21"/>
                      <w:szCs w:val="21"/>
                      <w:highlight w:val="none"/>
                      <w:lang w:val="en-US" w:eastAsia="zh-CN"/>
                    </w:rPr>
                    <w:t>20</w:t>
                  </w:r>
                  <w:r>
                    <w:rPr>
                      <w:rFonts w:hint="default" w:ascii="Times New Roman" w:hAnsi="Times New Roman" w:eastAsia="仿宋" w:cs="Times New Roman"/>
                      <w:color w:val="000000"/>
                      <w:kern w:val="0"/>
                      <w:sz w:val="21"/>
                      <w:szCs w:val="21"/>
                      <w:highlight w:val="none"/>
                    </w:rPr>
                    <w:t>万</w:t>
                  </w:r>
                  <w:r>
                    <w:rPr>
                      <w:rFonts w:hint="eastAsia" w:eastAsia="仿宋" w:cs="Times New Roman"/>
                      <w:color w:val="000000"/>
                      <w:kern w:val="0"/>
                      <w:sz w:val="21"/>
                      <w:szCs w:val="21"/>
                      <w:highlight w:val="none"/>
                      <w:lang w:val="en-US" w:eastAsia="zh-CN"/>
                    </w:rPr>
                    <w:t>k</w:t>
                  </w:r>
                  <w:r>
                    <w:rPr>
                      <w:rFonts w:hint="default" w:ascii="Times New Roman" w:hAnsi="Times New Roman" w:eastAsia="仿宋" w:cs="Times New Roman"/>
                      <w:color w:val="000000"/>
                      <w:kern w:val="0"/>
                      <w:sz w:val="21"/>
                      <w:szCs w:val="21"/>
                      <w:highlight w:val="none"/>
                    </w:rPr>
                    <w:t>Wh/年</w:t>
                  </w:r>
                </w:p>
              </w:tc>
              <w:tc>
                <w:tcPr>
                  <w:tcW w:w="1296" w:type="dxa"/>
                  <w:tcBorders>
                    <w:top w:val="single" w:color="auto" w:sz="4" w:space="0"/>
                    <w:left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依托</w:t>
                  </w:r>
                  <w:r>
                    <w:rPr>
                      <w:rFonts w:hint="default" w:ascii="Times New Roman" w:hAnsi="Times New Roman" w:eastAsia="仿宋" w:cs="Times New Roman"/>
                      <w:color w:val="000000"/>
                      <w:kern w:val="0"/>
                      <w:sz w:val="21"/>
                      <w:szCs w:val="21"/>
                      <w:highlight w:val="none"/>
                      <w:lang w:val="en-US" w:eastAsia="zh-CN"/>
                    </w:rPr>
                    <w:t>出租方</w:t>
                  </w:r>
                  <w:r>
                    <w:rPr>
                      <w:rFonts w:hint="default" w:ascii="Times New Roman" w:hAnsi="Times New Roman" w:eastAsia="仿宋" w:cs="Times New Roman"/>
                      <w:color w:val="000000"/>
                      <w:kern w:val="0"/>
                      <w:sz w:val="21"/>
                      <w:szCs w:val="21"/>
                      <w:highlight w:val="none"/>
                    </w:rPr>
                    <w:t>已有电网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188" w:type="dxa"/>
                  <w:vMerge w:val="restart"/>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环保工程</w:t>
                  </w:r>
                </w:p>
              </w:tc>
              <w:tc>
                <w:tcPr>
                  <w:tcW w:w="1600" w:type="dxa"/>
                  <w:gridSpan w:val="2"/>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废水治理</w:t>
                  </w:r>
                </w:p>
              </w:tc>
              <w:tc>
                <w:tcPr>
                  <w:tcW w:w="4355"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本项目员工生活污水（</w:t>
                  </w:r>
                  <w:r>
                    <w:rPr>
                      <w:rFonts w:hint="default" w:ascii="Times New Roman" w:hAnsi="Times New Roman" w:eastAsia="仿宋" w:cs="Times New Roman"/>
                      <w:color w:val="000000"/>
                      <w:kern w:val="0"/>
                      <w:sz w:val="21"/>
                      <w:szCs w:val="21"/>
                      <w:highlight w:val="none"/>
                      <w:lang w:val="en-US" w:eastAsia="zh-CN"/>
                    </w:rPr>
                    <w:t>192</w:t>
                  </w:r>
                  <w:r>
                    <w:rPr>
                      <w:rFonts w:hint="default" w:ascii="Times New Roman" w:hAnsi="Times New Roman" w:eastAsia="仿宋" w:cs="Times New Roman"/>
                      <w:color w:val="000000"/>
                      <w:kern w:val="0"/>
                      <w:sz w:val="21"/>
                      <w:szCs w:val="21"/>
                      <w:highlight w:val="none"/>
                    </w:rPr>
                    <w:t>m</w:t>
                  </w:r>
                  <w:r>
                    <w:rPr>
                      <w:rFonts w:hint="default" w:ascii="Times New Roman" w:hAnsi="Times New Roman" w:eastAsia="仿宋" w:cs="Times New Roman"/>
                      <w:color w:val="000000"/>
                      <w:kern w:val="0"/>
                      <w:sz w:val="21"/>
                      <w:szCs w:val="21"/>
                      <w:highlight w:val="none"/>
                      <w:vertAlign w:val="superscript"/>
                    </w:rPr>
                    <w:t>3</w:t>
                  </w:r>
                  <w:r>
                    <w:rPr>
                      <w:rFonts w:hint="default" w:ascii="Times New Roman" w:hAnsi="Times New Roman" w:eastAsia="仿宋" w:cs="Times New Roman"/>
                      <w:color w:val="000000"/>
                      <w:kern w:val="0"/>
                      <w:sz w:val="21"/>
                      <w:szCs w:val="21"/>
                      <w:highlight w:val="none"/>
                    </w:rPr>
                    <w:t>/a）</w:t>
                  </w:r>
                  <w:r>
                    <w:rPr>
                      <w:rFonts w:hint="default" w:ascii="Times New Roman" w:hAnsi="Times New Roman" w:eastAsia="仿宋" w:cs="Times New Roman"/>
                      <w:color w:val="000000"/>
                      <w:kern w:val="0"/>
                      <w:sz w:val="21"/>
                      <w:szCs w:val="21"/>
                      <w:highlight w:val="none"/>
                      <w:lang w:val="en-US" w:eastAsia="zh-CN"/>
                    </w:rPr>
                    <w:t>经化粪池处理后</w:t>
                  </w:r>
                  <w:r>
                    <w:rPr>
                      <w:rFonts w:hint="default" w:ascii="Times New Roman" w:hAnsi="Times New Roman" w:eastAsia="仿宋" w:cs="Times New Roman"/>
                      <w:color w:val="000000"/>
                      <w:kern w:val="0"/>
                      <w:sz w:val="21"/>
                      <w:szCs w:val="21"/>
                      <w:highlight w:val="none"/>
                    </w:rPr>
                    <w:t>接入市政污水管道排入</w:t>
                  </w:r>
                  <w:r>
                    <w:rPr>
                      <w:rFonts w:hint="default" w:ascii="Times New Roman" w:hAnsi="Times New Roman" w:eastAsia="仿宋" w:cs="Times New Roman"/>
                      <w:color w:val="000000"/>
                      <w:kern w:val="0"/>
                      <w:sz w:val="21"/>
                      <w:szCs w:val="21"/>
                      <w:highlight w:val="none"/>
                      <w:lang w:val="en-US" w:eastAsia="zh-CN"/>
                    </w:rPr>
                    <w:t>郑陆污</w:t>
                  </w:r>
                  <w:r>
                    <w:rPr>
                      <w:rFonts w:hint="default" w:ascii="Times New Roman" w:hAnsi="Times New Roman" w:eastAsia="仿宋" w:cs="Times New Roman"/>
                      <w:color w:val="000000"/>
                      <w:kern w:val="0"/>
                      <w:sz w:val="21"/>
                      <w:szCs w:val="21"/>
                      <w:highlight w:val="none"/>
                      <w:lang w:eastAsia="zh-CN"/>
                    </w:rPr>
                    <w:t>水处理有限公司</w:t>
                  </w:r>
                  <w:r>
                    <w:rPr>
                      <w:rFonts w:hint="default" w:ascii="Times New Roman" w:hAnsi="Times New Roman" w:eastAsia="仿宋" w:cs="Times New Roman"/>
                      <w:color w:val="000000"/>
                      <w:kern w:val="0"/>
                      <w:sz w:val="21"/>
                      <w:szCs w:val="21"/>
                      <w:highlight w:val="none"/>
                    </w:rPr>
                    <w:t>集中处理，处理达标后排入</w:t>
                  </w:r>
                  <w:r>
                    <w:rPr>
                      <w:rFonts w:hint="default" w:ascii="Times New Roman" w:hAnsi="Times New Roman" w:eastAsia="仿宋" w:cs="Times New Roman"/>
                      <w:color w:val="000000"/>
                      <w:kern w:val="0"/>
                      <w:sz w:val="21"/>
                      <w:szCs w:val="21"/>
                      <w:highlight w:val="none"/>
                      <w:lang w:val="en-US" w:eastAsia="zh-CN"/>
                    </w:rPr>
                    <w:t>舜河</w:t>
                  </w:r>
                  <w:r>
                    <w:rPr>
                      <w:rFonts w:hint="default" w:ascii="Times New Roman" w:hAnsi="Times New Roman" w:eastAsia="仿宋" w:cs="Times New Roman"/>
                      <w:color w:val="000000"/>
                      <w:kern w:val="0"/>
                      <w:sz w:val="21"/>
                      <w:szCs w:val="21"/>
                      <w:highlight w:val="none"/>
                    </w:rPr>
                    <w:t>。</w:t>
                  </w:r>
                </w:p>
              </w:tc>
              <w:tc>
                <w:tcPr>
                  <w:tcW w:w="1296"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依托已有管网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1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0"/>
                      <w:sz w:val="21"/>
                      <w:szCs w:val="21"/>
                      <w:highlight w:val="none"/>
                    </w:rPr>
                  </w:pPr>
                </w:p>
              </w:tc>
              <w:tc>
                <w:tcPr>
                  <w:tcW w:w="1600" w:type="dxa"/>
                  <w:gridSpan w:val="2"/>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废气治理</w:t>
                  </w:r>
                </w:p>
              </w:tc>
              <w:tc>
                <w:tcPr>
                  <w:tcW w:w="43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sz w:val="21"/>
                      <w:szCs w:val="21"/>
                      <w:highlight w:val="none"/>
                    </w:rPr>
                    <w:t>本项目</w:t>
                  </w:r>
                  <w:r>
                    <w:rPr>
                      <w:rFonts w:hint="default" w:ascii="Times New Roman" w:hAnsi="Times New Roman" w:eastAsia="仿宋" w:cs="Times New Roman"/>
                      <w:color w:val="000000"/>
                      <w:sz w:val="21"/>
                      <w:szCs w:val="21"/>
                      <w:highlight w:val="none"/>
                      <w:lang w:val="en-US" w:eastAsia="zh-CN"/>
                    </w:rPr>
                    <w:t>淬火、回火产生的非甲烷总烃采用集气罩收集后经</w:t>
                  </w:r>
                  <w:r>
                    <w:rPr>
                      <w:rFonts w:hint="eastAsia" w:eastAsia="仿宋" w:cs="Times New Roman"/>
                      <w:color w:val="000000"/>
                      <w:sz w:val="21"/>
                      <w:szCs w:val="21"/>
                      <w:highlight w:val="none"/>
                      <w:lang w:val="en-US" w:eastAsia="zh-CN"/>
                    </w:rPr>
                    <w:t>UV光氧化</w:t>
                  </w:r>
                  <w:r>
                    <w:rPr>
                      <w:rFonts w:hint="default" w:ascii="Times New Roman" w:hAnsi="Times New Roman" w:eastAsia="仿宋" w:cs="Times New Roman"/>
                      <w:color w:val="000000"/>
                      <w:sz w:val="21"/>
                      <w:szCs w:val="21"/>
                      <w:highlight w:val="none"/>
                      <w:lang w:val="en-US" w:eastAsia="zh-CN"/>
                    </w:rPr>
                    <w:t>＋</w:t>
                  </w:r>
                  <w:r>
                    <w:rPr>
                      <w:rFonts w:hint="default" w:ascii="Times New Roman" w:hAnsi="Times New Roman" w:eastAsia="仿宋" w:cs="Times New Roman"/>
                      <w:color w:val="000000"/>
                      <w:sz w:val="21"/>
                      <w:szCs w:val="21"/>
                      <w:highlight w:val="none"/>
                    </w:rPr>
                    <w:t>活性炭吸附装置处理后由15m高</w:t>
                  </w:r>
                  <w:r>
                    <w:rPr>
                      <w:rFonts w:hint="default" w:ascii="Times New Roman" w:hAnsi="Times New Roman" w:eastAsia="仿宋" w:cs="Times New Roman"/>
                      <w:color w:val="000000"/>
                      <w:sz w:val="21"/>
                      <w:szCs w:val="21"/>
                      <w:highlight w:val="none"/>
                      <w:lang w:val="en-US" w:eastAsia="zh-CN"/>
                    </w:rPr>
                    <w:t>1#</w:t>
                  </w:r>
                  <w:r>
                    <w:rPr>
                      <w:rFonts w:hint="default" w:ascii="Times New Roman" w:hAnsi="Times New Roman" w:eastAsia="仿宋" w:cs="Times New Roman"/>
                      <w:color w:val="000000"/>
                      <w:sz w:val="21"/>
                      <w:szCs w:val="21"/>
                      <w:highlight w:val="none"/>
                    </w:rPr>
                    <w:t>排气筒排放</w:t>
                  </w:r>
                </w:p>
              </w:tc>
              <w:tc>
                <w:tcPr>
                  <w:tcW w:w="1296"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0"/>
                      <w:sz w:val="21"/>
                      <w:szCs w:val="21"/>
                      <w:highlight w:val="none"/>
                    </w:rPr>
                  </w:pPr>
                </w:p>
              </w:tc>
              <w:tc>
                <w:tcPr>
                  <w:tcW w:w="1600" w:type="dxa"/>
                  <w:gridSpan w:val="2"/>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噪声</w:t>
                  </w:r>
                </w:p>
              </w:tc>
              <w:tc>
                <w:tcPr>
                  <w:tcW w:w="4355"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噪声源经</w:t>
                  </w:r>
                  <w:r>
                    <w:rPr>
                      <w:rFonts w:hint="default" w:ascii="Times New Roman" w:hAnsi="Times New Roman" w:eastAsia="仿宋" w:cs="Times New Roman"/>
                      <w:color w:val="000000"/>
                      <w:kern w:val="0"/>
                      <w:sz w:val="21"/>
                      <w:szCs w:val="21"/>
                      <w:highlight w:val="none"/>
                      <w:lang w:val="en-US" w:eastAsia="zh-CN"/>
                    </w:rPr>
                    <w:t>墙体</w:t>
                  </w:r>
                  <w:r>
                    <w:rPr>
                      <w:rFonts w:hint="default" w:ascii="Times New Roman" w:hAnsi="Times New Roman" w:eastAsia="仿宋" w:cs="Times New Roman"/>
                      <w:color w:val="000000"/>
                      <w:kern w:val="0"/>
                      <w:sz w:val="21"/>
                      <w:szCs w:val="21"/>
                      <w:highlight w:val="none"/>
                    </w:rPr>
                    <w:t>隔声处理</w:t>
                  </w:r>
                </w:p>
              </w:tc>
              <w:tc>
                <w:tcPr>
                  <w:tcW w:w="1296"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lang w:val="en-US" w:eastAsia="zh-CN"/>
                    </w:rPr>
                  </w:pPr>
                  <w:r>
                    <w:rPr>
                      <w:rFonts w:hint="eastAsia" w:eastAsia="仿宋" w:cs="Times New Roman"/>
                      <w:color w:val="000000"/>
                      <w:kern w:val="0"/>
                      <w:sz w:val="21"/>
                      <w:szCs w:val="21"/>
                      <w:highlight w:val="none"/>
                      <w:lang w:val="en-US" w:eastAsia="zh-CN"/>
                    </w:rPr>
                    <w:t>依托出租方已有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1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0"/>
                      <w:sz w:val="21"/>
                      <w:szCs w:val="21"/>
                      <w:highlight w:val="none"/>
                    </w:rPr>
                  </w:pPr>
                </w:p>
              </w:tc>
              <w:tc>
                <w:tcPr>
                  <w:tcW w:w="1600" w:type="dxa"/>
                  <w:gridSpan w:val="2"/>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固废</w:t>
                  </w:r>
                </w:p>
              </w:tc>
              <w:tc>
                <w:tcPr>
                  <w:tcW w:w="4355"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一般固废堆</w:t>
                  </w:r>
                  <w:r>
                    <w:rPr>
                      <w:rFonts w:hint="eastAsia" w:eastAsia="仿宋" w:cs="Times New Roman"/>
                      <w:color w:val="000000"/>
                      <w:kern w:val="0"/>
                      <w:sz w:val="21"/>
                      <w:szCs w:val="21"/>
                      <w:highlight w:val="none"/>
                      <w:lang w:val="en-US" w:eastAsia="zh-CN"/>
                    </w:rPr>
                    <w:t>场</w:t>
                  </w:r>
                  <w:r>
                    <w:rPr>
                      <w:rFonts w:hint="default" w:ascii="Times New Roman" w:hAnsi="Times New Roman" w:eastAsia="仿宋" w:cs="Times New Roman"/>
                      <w:color w:val="000000"/>
                      <w:kern w:val="0"/>
                      <w:sz w:val="21"/>
                      <w:szCs w:val="21"/>
                      <w:highlight w:val="none"/>
                    </w:rPr>
                    <w:t>1个，占地面积10m</w:t>
                  </w:r>
                  <w:r>
                    <w:rPr>
                      <w:rFonts w:hint="default" w:ascii="Times New Roman" w:hAnsi="Times New Roman" w:eastAsia="仿宋" w:cs="Times New Roman"/>
                      <w:color w:val="000000"/>
                      <w:kern w:val="0"/>
                      <w:sz w:val="21"/>
                      <w:szCs w:val="21"/>
                      <w:highlight w:val="none"/>
                      <w:vertAlign w:val="superscript"/>
                    </w:rPr>
                    <w:t>2</w:t>
                  </w:r>
                  <w:r>
                    <w:rPr>
                      <w:rFonts w:hint="default" w:ascii="Times New Roman" w:hAnsi="Times New Roman" w:eastAsia="仿宋" w:cs="Times New Roman"/>
                      <w:color w:val="000000"/>
                      <w:kern w:val="0"/>
                      <w:sz w:val="21"/>
                      <w:szCs w:val="21"/>
                      <w:highlight w:val="none"/>
                    </w:rPr>
                    <w:t>；</w:t>
                  </w:r>
                </w:p>
                <w:p>
                  <w:pPr>
                    <w:pStyle w:val="40"/>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仿宋" w:cs="Times New Roman"/>
                      <w:color w:val="000000"/>
                      <w:kern w:val="0"/>
                      <w:sz w:val="21"/>
                      <w:szCs w:val="21"/>
                      <w:highlight w:val="none"/>
                    </w:rPr>
                    <w:t>危废仓库1个，占地面积</w:t>
                  </w:r>
                  <w:r>
                    <w:rPr>
                      <w:rFonts w:hint="default" w:ascii="Times New Roman" w:hAnsi="Times New Roman" w:eastAsia="仿宋" w:cs="Times New Roman"/>
                      <w:color w:val="000000"/>
                      <w:kern w:val="0"/>
                      <w:sz w:val="21"/>
                      <w:szCs w:val="21"/>
                      <w:highlight w:val="none"/>
                      <w:lang w:val="en-US" w:eastAsia="zh-CN"/>
                    </w:rPr>
                    <w:t>6</w:t>
                  </w:r>
                  <w:r>
                    <w:rPr>
                      <w:rFonts w:hint="default" w:ascii="Times New Roman" w:hAnsi="Times New Roman" w:eastAsia="仿宋" w:cs="Times New Roman"/>
                      <w:color w:val="000000"/>
                      <w:kern w:val="0"/>
                      <w:sz w:val="21"/>
                      <w:szCs w:val="21"/>
                      <w:highlight w:val="none"/>
                    </w:rPr>
                    <w:t>m</w:t>
                  </w:r>
                  <w:r>
                    <w:rPr>
                      <w:rFonts w:hint="default" w:ascii="Times New Roman" w:hAnsi="Times New Roman" w:eastAsia="仿宋" w:cs="Times New Roman"/>
                      <w:color w:val="000000"/>
                      <w:kern w:val="0"/>
                      <w:sz w:val="21"/>
                      <w:szCs w:val="21"/>
                      <w:highlight w:val="none"/>
                      <w:vertAlign w:val="superscript"/>
                    </w:rPr>
                    <w:t>2</w:t>
                  </w:r>
                  <w:r>
                    <w:rPr>
                      <w:rFonts w:hint="default" w:ascii="Times New Roman" w:hAnsi="Times New Roman" w:eastAsia="仿宋" w:cs="Times New Roman"/>
                      <w:color w:val="000000"/>
                      <w:kern w:val="0"/>
                      <w:sz w:val="21"/>
                      <w:szCs w:val="21"/>
                      <w:highlight w:val="none"/>
                      <w:vertAlign w:val="baseline"/>
                      <w:lang w:val="en-US" w:eastAsia="zh-CN"/>
                    </w:rPr>
                    <w:t>位于车间东南角</w:t>
                  </w:r>
                </w:p>
              </w:tc>
              <w:tc>
                <w:tcPr>
                  <w:tcW w:w="1296"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0"/>
                      <w:sz w:val="21"/>
                      <w:szCs w:val="21"/>
                      <w:highlight w:val="none"/>
                    </w:rPr>
                  </w:pPr>
                </w:p>
              </w:tc>
              <w:tc>
                <w:tcPr>
                  <w:tcW w:w="1600" w:type="dxa"/>
                  <w:gridSpan w:val="2"/>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生活垃圾</w:t>
                  </w:r>
                </w:p>
              </w:tc>
              <w:tc>
                <w:tcPr>
                  <w:tcW w:w="4355"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垃圾桶、垃圾箱</w:t>
                  </w:r>
                </w:p>
              </w:tc>
              <w:tc>
                <w:tcPr>
                  <w:tcW w:w="1296" w:type="dxa"/>
                  <w:tcBorders>
                    <w:top w:val="single" w:color="auto" w:sz="4" w:space="0"/>
                    <w:left w:val="single" w:color="auto" w:sz="4" w:space="0"/>
                    <w:bottom w:val="single" w:color="auto" w:sz="4" w:space="0"/>
                    <w:right w:val="single" w:color="auto" w:sz="4" w:space="0"/>
                  </w:tcBorders>
                  <w:noWrap w:val="0"/>
                  <w:vAlign w:val="center"/>
                </w:tcPr>
                <w:p>
                  <w:pPr>
                    <w:pStyle w:val="40"/>
                    <w:rPr>
                      <w:rFonts w:hint="default" w:ascii="Times New Roman" w:hAnsi="Times New Roman" w:eastAsia="仿宋" w:cs="Times New Roman"/>
                      <w:color w:val="000000"/>
                      <w:kern w:val="0"/>
                      <w:sz w:val="21"/>
                      <w:szCs w:val="21"/>
                      <w:highlight w:val="none"/>
                    </w:rPr>
                  </w:pPr>
                  <w:r>
                    <w:rPr>
                      <w:rFonts w:hint="default" w:ascii="Times New Roman" w:hAnsi="Times New Roman" w:eastAsia="仿宋" w:cs="Times New Roman"/>
                      <w:color w:val="000000"/>
                      <w:kern w:val="0"/>
                      <w:sz w:val="21"/>
                      <w:szCs w:val="21"/>
                      <w:highlight w:val="none"/>
                    </w:rPr>
                    <w:t>新建</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6.劳动定员和工作制度</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本项目新增员工10人，年工作日300天，每天8小时生产（一班制，</w:t>
            </w:r>
            <w:r>
              <w:rPr>
                <w:rFonts w:hint="eastAsia" w:eastAsia="仿宋" w:cs="Times New Roman"/>
                <w:kern w:val="0"/>
                <w:sz w:val="24"/>
                <w:szCs w:val="24"/>
                <w:lang w:val="en-US" w:eastAsia="zh-CN"/>
              </w:rPr>
              <w:t>长白班</w:t>
            </w:r>
            <w:r>
              <w:rPr>
                <w:rFonts w:hint="default" w:ascii="Times New Roman" w:hAnsi="Times New Roman" w:eastAsia="仿宋" w:cs="Times New Roman"/>
                <w:kern w:val="0"/>
                <w:sz w:val="24"/>
                <w:szCs w:val="24"/>
                <w:lang w:val="en-US" w:eastAsia="zh-CN"/>
              </w:rPr>
              <w:t>），年生产2400小时</w:t>
            </w:r>
            <w:r>
              <w:rPr>
                <w:rFonts w:hint="eastAsia" w:eastAsia="仿宋" w:cs="Times New Roman"/>
                <w:kern w:val="0"/>
                <w:sz w:val="24"/>
                <w:szCs w:val="24"/>
                <w:lang w:val="en-US" w:eastAsia="zh-CN"/>
              </w:rPr>
              <w:t>，不设置食堂、浴室和住宿</w:t>
            </w:r>
            <w:r>
              <w:rPr>
                <w:rFonts w:hint="default" w:ascii="Times New Roman" w:hAnsi="Times New Roman" w:eastAsia="仿宋" w:cs="Times New Roman"/>
                <w:kern w:val="0"/>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7.厂区平面布置</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 xml:space="preserve">表2-6 </w:t>
            </w:r>
            <w:r>
              <w:rPr>
                <w:rFonts w:hint="eastAsia" w:eastAsia="仿宋" w:cs="Times New Roman"/>
                <w:b/>
                <w:bCs/>
                <w:kern w:val="0"/>
                <w:sz w:val="24"/>
                <w:szCs w:val="24"/>
                <w:lang w:val="en-US" w:eastAsia="zh-CN"/>
              </w:rPr>
              <w:t>常州市华茂铸造</w:t>
            </w:r>
            <w:r>
              <w:rPr>
                <w:rFonts w:hint="default" w:ascii="Times New Roman" w:hAnsi="Times New Roman" w:eastAsia="仿宋" w:cs="Times New Roman"/>
                <w:b/>
                <w:bCs/>
                <w:kern w:val="0"/>
                <w:sz w:val="24"/>
                <w:szCs w:val="24"/>
                <w:lang w:val="en-US" w:eastAsia="zh-CN"/>
              </w:rPr>
              <w:t>有限公司厂区内主要构筑物一览表</w:t>
            </w:r>
          </w:p>
          <w:tbl>
            <w:tblPr>
              <w:tblStyle w:val="17"/>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692"/>
              <w:gridCol w:w="1656"/>
              <w:gridCol w:w="1131"/>
              <w:gridCol w:w="1254"/>
              <w:gridCol w:w="1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rPr>
                    <w:t>序号</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rPr>
                    <w:t>建筑物名称</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lang w:val="en-US" w:eastAsia="zh-CN"/>
                    </w:rPr>
                    <w:t>占地</w:t>
                  </w:r>
                  <w:r>
                    <w:rPr>
                      <w:rFonts w:hint="default" w:ascii="Times New Roman" w:hAnsi="Times New Roman" w:eastAsia="仿宋" w:cs="Times New Roman"/>
                      <w:b/>
                      <w:bCs/>
                      <w:color w:val="000000"/>
                      <w:sz w:val="21"/>
                      <w:szCs w:val="21"/>
                      <w:highlight w:val="none"/>
                    </w:rPr>
                    <w:t>面积</w:t>
                  </w:r>
                </w:p>
                <w:p>
                  <w:pPr>
                    <w:widowControl/>
                    <w:spacing w:line="240" w:lineRule="auto"/>
                    <w:ind w:firstLine="0" w:firstLineChars="0"/>
                    <w:jc w:val="center"/>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rPr>
                    <w:t>(m</w:t>
                  </w:r>
                  <w:r>
                    <w:rPr>
                      <w:rFonts w:hint="default" w:ascii="Times New Roman" w:hAnsi="Times New Roman" w:eastAsia="仿宋" w:cs="Times New Roman"/>
                      <w:b/>
                      <w:bCs/>
                      <w:color w:val="000000"/>
                      <w:sz w:val="21"/>
                      <w:szCs w:val="21"/>
                      <w:highlight w:val="none"/>
                      <w:vertAlign w:val="superscript"/>
                    </w:rPr>
                    <w:t>2</w:t>
                  </w:r>
                  <w:r>
                    <w:rPr>
                      <w:rFonts w:hint="default" w:ascii="Times New Roman" w:hAnsi="Times New Roman" w:eastAsia="仿宋" w:cs="Times New Roman"/>
                      <w:b/>
                      <w:bCs/>
                      <w:color w:val="000000"/>
                      <w:sz w:val="21"/>
                      <w:szCs w:val="21"/>
                      <w:highlight w:val="none"/>
                    </w:rPr>
                    <w:t>)</w:t>
                  </w:r>
                </w:p>
              </w:tc>
              <w:tc>
                <w:tcPr>
                  <w:tcW w:w="11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rPr>
                    <w:t>层数</w:t>
                  </w:r>
                </w:p>
              </w:tc>
              <w:tc>
                <w:tcPr>
                  <w:tcW w:w="125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rPr>
                    <w:t>高度</w:t>
                  </w:r>
                </w:p>
                <w:p>
                  <w:pPr>
                    <w:widowControl/>
                    <w:spacing w:line="240" w:lineRule="auto"/>
                    <w:ind w:firstLine="0" w:firstLineChars="0"/>
                    <w:jc w:val="center"/>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rPr>
                    <w:t>（m）</w:t>
                  </w:r>
                </w:p>
              </w:tc>
              <w:tc>
                <w:tcPr>
                  <w:tcW w:w="194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rPr>
                  </w:pPr>
                  <w:r>
                    <w:rPr>
                      <w:rFonts w:hint="default" w:ascii="Times New Roman" w:hAnsi="Times New Roman" w:eastAsia="仿宋" w:cs="Times New Roman"/>
                      <w:color w:val="000000"/>
                      <w:sz w:val="21"/>
                      <w:szCs w:val="21"/>
                      <w:highlight w:val="none"/>
                    </w:rPr>
                    <w:t>1</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办公楼</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450</w:t>
                  </w:r>
                </w:p>
              </w:tc>
              <w:tc>
                <w:tcPr>
                  <w:tcW w:w="11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2</w:t>
                  </w:r>
                </w:p>
              </w:tc>
              <w:tc>
                <w:tcPr>
                  <w:tcW w:w="12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10</w:t>
                  </w:r>
                </w:p>
              </w:tc>
              <w:tc>
                <w:tcPr>
                  <w:tcW w:w="194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常州市华茂铸造有限公司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2</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eastAsia" w:eastAsia="仿宋" w:cs="Times New Roman"/>
                      <w:color w:val="000000"/>
                      <w:sz w:val="21"/>
                      <w:szCs w:val="21"/>
                      <w:highlight w:val="none"/>
                      <w:lang w:val="en-US" w:eastAsia="zh-CN"/>
                    </w:rPr>
                    <w:t>门卫</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eastAsia" w:eastAsia="仿宋" w:cs="Times New Roman"/>
                      <w:color w:val="000000"/>
                      <w:sz w:val="21"/>
                      <w:szCs w:val="21"/>
                      <w:highlight w:val="none"/>
                      <w:lang w:val="en-US" w:eastAsia="zh-CN"/>
                    </w:rPr>
                    <w:t>30</w:t>
                  </w:r>
                </w:p>
              </w:tc>
              <w:tc>
                <w:tcPr>
                  <w:tcW w:w="11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eastAsia" w:eastAsia="仿宋" w:cs="Times New Roman"/>
                      <w:color w:val="000000"/>
                      <w:sz w:val="21"/>
                      <w:szCs w:val="21"/>
                      <w:highlight w:val="none"/>
                      <w:lang w:val="en-US" w:eastAsia="zh-CN"/>
                    </w:rPr>
                    <w:t>1</w:t>
                  </w:r>
                </w:p>
              </w:tc>
              <w:tc>
                <w:tcPr>
                  <w:tcW w:w="12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sz w:val="21"/>
                      <w:szCs w:val="21"/>
                      <w:highlight w:val="none"/>
                      <w:lang w:val="en-US" w:eastAsia="zh-CN"/>
                    </w:rPr>
                  </w:pPr>
                  <w:r>
                    <w:rPr>
                      <w:rFonts w:hint="eastAsia" w:eastAsia="仿宋" w:cs="Times New Roman"/>
                      <w:color w:val="000000"/>
                      <w:sz w:val="21"/>
                      <w:szCs w:val="21"/>
                      <w:highlight w:val="none"/>
                      <w:lang w:val="en-US" w:eastAsia="zh-CN"/>
                    </w:rPr>
                    <w:t>4</w:t>
                  </w:r>
                </w:p>
              </w:tc>
              <w:tc>
                <w:tcPr>
                  <w:tcW w:w="1942"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3</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生产车间一</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eastAsia" w:eastAsia="仿宋" w:cs="Times New Roman"/>
                      <w:color w:val="000000"/>
                      <w:sz w:val="21"/>
                      <w:szCs w:val="21"/>
                      <w:highlight w:val="none"/>
                      <w:lang w:val="en-US" w:eastAsia="zh-CN"/>
                    </w:rPr>
                    <w:t>300</w:t>
                  </w:r>
                </w:p>
              </w:tc>
              <w:tc>
                <w:tcPr>
                  <w:tcW w:w="11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1</w:t>
                  </w:r>
                </w:p>
              </w:tc>
              <w:tc>
                <w:tcPr>
                  <w:tcW w:w="12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15</w:t>
                  </w:r>
                </w:p>
              </w:tc>
              <w:tc>
                <w:tcPr>
                  <w:tcW w:w="194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00000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4</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生产车间二</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eastAsia" w:eastAsia="仿宋" w:cs="Times New Roman"/>
                      <w:color w:val="000000"/>
                      <w:sz w:val="21"/>
                      <w:szCs w:val="21"/>
                      <w:highlight w:val="none"/>
                      <w:lang w:val="en-US" w:eastAsia="zh-CN"/>
                    </w:rPr>
                    <w:t>800</w:t>
                  </w:r>
                </w:p>
              </w:tc>
              <w:tc>
                <w:tcPr>
                  <w:tcW w:w="11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rPr>
                  </w:pPr>
                  <w:r>
                    <w:rPr>
                      <w:rFonts w:hint="default" w:ascii="Times New Roman" w:hAnsi="Times New Roman" w:eastAsia="仿宋" w:cs="Times New Roman"/>
                      <w:color w:val="000000"/>
                      <w:sz w:val="21"/>
                      <w:szCs w:val="21"/>
                      <w:highlight w:val="none"/>
                    </w:rPr>
                    <w:t>1</w:t>
                  </w:r>
                </w:p>
              </w:tc>
              <w:tc>
                <w:tcPr>
                  <w:tcW w:w="12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sz w:val="21"/>
                      <w:szCs w:val="21"/>
                      <w:highlight w:val="none"/>
                    </w:rPr>
                  </w:pPr>
                  <w:r>
                    <w:rPr>
                      <w:rFonts w:hint="default" w:ascii="Times New Roman" w:hAnsi="Times New Roman" w:eastAsia="仿宋" w:cs="Times New Roman"/>
                      <w:color w:val="000000"/>
                      <w:sz w:val="21"/>
                      <w:szCs w:val="21"/>
                      <w:highlight w:val="none"/>
                      <w:lang w:val="en-US" w:eastAsia="zh-CN"/>
                    </w:rPr>
                    <w:t>15</w:t>
                  </w:r>
                </w:p>
              </w:tc>
              <w:tc>
                <w:tcPr>
                  <w:tcW w:w="1942"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本项目使用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sz w:val="21"/>
                      <w:szCs w:val="21"/>
                      <w:highlight w:val="none"/>
                      <w:lang w:val="en-US" w:eastAsia="zh-CN"/>
                    </w:rPr>
                    <w:t>5</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生产车间三</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450</w:t>
                  </w:r>
                </w:p>
              </w:tc>
              <w:tc>
                <w:tcPr>
                  <w:tcW w:w="11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1</w:t>
                  </w:r>
                </w:p>
              </w:tc>
              <w:tc>
                <w:tcPr>
                  <w:tcW w:w="125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8</w:t>
                  </w:r>
                </w:p>
              </w:tc>
              <w:tc>
                <w:tcPr>
                  <w:tcW w:w="1942" w:type="dxa"/>
                  <w:vMerge w:val="restart"/>
                  <w:tcBorders>
                    <w:left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常州市华茂铸造有限公司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sz w:val="21"/>
                      <w:szCs w:val="21"/>
                      <w:highlight w:val="none"/>
                      <w:lang w:val="en-US" w:eastAsia="zh-CN"/>
                    </w:rPr>
                    <w:t>6</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生产车间四</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400</w:t>
                  </w:r>
                </w:p>
              </w:tc>
              <w:tc>
                <w:tcPr>
                  <w:tcW w:w="11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eastAsia="zh-CN"/>
                    </w:rPr>
                  </w:pPr>
                  <w:r>
                    <w:rPr>
                      <w:rFonts w:hint="default" w:ascii="Times New Roman" w:hAnsi="Times New Roman" w:eastAsia="仿宋" w:cs="Times New Roman"/>
                      <w:color w:val="000000"/>
                      <w:sz w:val="21"/>
                      <w:szCs w:val="21"/>
                      <w:highlight w:val="none"/>
                      <w:lang w:val="en-US" w:eastAsia="zh-CN"/>
                    </w:rPr>
                    <w:t>1</w:t>
                  </w:r>
                </w:p>
              </w:tc>
              <w:tc>
                <w:tcPr>
                  <w:tcW w:w="125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8</w:t>
                  </w:r>
                </w:p>
              </w:tc>
              <w:tc>
                <w:tcPr>
                  <w:tcW w:w="1942" w:type="dxa"/>
                  <w:vMerge w:val="continue"/>
                  <w:tcBorders>
                    <w:left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sz w:val="21"/>
                      <w:szCs w:val="21"/>
                      <w:highlight w:val="none"/>
                      <w:lang w:val="en-US" w:eastAsia="zh-CN"/>
                    </w:rPr>
                    <w:t>7</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1#仓库</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400</w:t>
                  </w:r>
                </w:p>
              </w:tc>
              <w:tc>
                <w:tcPr>
                  <w:tcW w:w="11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1</w:t>
                  </w:r>
                </w:p>
              </w:tc>
              <w:tc>
                <w:tcPr>
                  <w:tcW w:w="125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8</w:t>
                  </w:r>
                </w:p>
              </w:tc>
              <w:tc>
                <w:tcPr>
                  <w:tcW w:w="1942" w:type="dxa"/>
                  <w:vMerge w:val="restart"/>
                  <w:tcBorders>
                    <w:left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常州市华茂铸造有限公司作为仓库使用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sz w:val="21"/>
                      <w:szCs w:val="21"/>
                      <w:highlight w:val="none"/>
                      <w:lang w:val="en-US" w:eastAsia="zh-CN"/>
                    </w:rPr>
                    <w:t>8</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2#仓库</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660</w:t>
                  </w:r>
                </w:p>
              </w:tc>
              <w:tc>
                <w:tcPr>
                  <w:tcW w:w="11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1</w:t>
                  </w:r>
                </w:p>
              </w:tc>
              <w:tc>
                <w:tcPr>
                  <w:tcW w:w="125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8</w:t>
                  </w:r>
                </w:p>
              </w:tc>
              <w:tc>
                <w:tcPr>
                  <w:tcW w:w="1942" w:type="dxa"/>
                  <w:vMerge w:val="continue"/>
                  <w:tcBorders>
                    <w:left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kern w:val="2"/>
                      <w:sz w:val="21"/>
                      <w:szCs w:val="21"/>
                      <w:highlight w:val="none"/>
                      <w:lang w:val="en-US" w:eastAsia="zh-CN" w:bidi="ar-SA"/>
                    </w:rPr>
                  </w:pPr>
                  <w:r>
                    <w:rPr>
                      <w:rFonts w:hint="eastAsia" w:eastAsia="仿宋" w:cs="Times New Roman"/>
                      <w:color w:val="000000"/>
                      <w:kern w:val="2"/>
                      <w:sz w:val="21"/>
                      <w:szCs w:val="21"/>
                      <w:highlight w:val="none"/>
                      <w:lang w:val="en-US" w:eastAsia="zh-CN" w:bidi="ar-SA"/>
                    </w:rPr>
                    <w:t>9</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3#仓库</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360</w:t>
                  </w:r>
                </w:p>
              </w:tc>
              <w:tc>
                <w:tcPr>
                  <w:tcW w:w="113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1</w:t>
                  </w:r>
                </w:p>
              </w:tc>
              <w:tc>
                <w:tcPr>
                  <w:tcW w:w="125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r>
                    <w:rPr>
                      <w:rFonts w:hint="default" w:ascii="Times New Roman" w:hAnsi="Times New Roman" w:eastAsia="仿宋" w:cs="Times New Roman"/>
                      <w:color w:val="000000"/>
                      <w:sz w:val="21"/>
                      <w:szCs w:val="21"/>
                      <w:highlight w:val="none"/>
                      <w:lang w:val="en-US" w:eastAsia="zh-CN"/>
                    </w:rPr>
                    <w:t>8</w:t>
                  </w:r>
                </w:p>
              </w:tc>
              <w:tc>
                <w:tcPr>
                  <w:tcW w:w="1942"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000000"/>
                      <w:sz w:val="21"/>
                      <w:szCs w:val="21"/>
                      <w:highlight w:val="none"/>
                      <w:lang w:val="en-US" w:eastAsia="zh-CN"/>
                    </w:rPr>
                  </w:pPr>
                </w:p>
              </w:tc>
            </w:tr>
          </w:tbl>
          <w:p>
            <w:pPr>
              <w:widowControl w:val="0"/>
              <w:numPr>
                <w:ilvl w:val="0"/>
                <w:numId w:val="0"/>
              </w:numPr>
              <w:adjustRightInd w:val="0"/>
              <w:snapToGrid w:val="0"/>
              <w:jc w:val="both"/>
              <w:rPr>
                <w:rFonts w:hint="default" w:ascii="Times New Roman" w:hAnsi="Times New Roman" w:eastAsia="仿宋" w:cs="Times New Roman"/>
                <w:bCs/>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2" w:hRule="atLeast"/>
          <w:jc w:val="center"/>
        </w:trPr>
        <w:tc>
          <w:tcPr>
            <w:tcW w:w="823" w:type="dxa"/>
            <w:noWrap w:val="0"/>
            <w:vAlign w:val="center"/>
          </w:tcPr>
          <w:p>
            <w:pPr>
              <w:pStyle w:val="13"/>
              <w:adjustRightInd w:val="0"/>
              <w:snapToGrid w:val="0"/>
              <w:spacing w:before="0" w:beforeAutospacing="0" w:after="0" w:afterAutospacing="0"/>
              <w:jc w:val="center"/>
              <w:rPr>
                <w:rFonts w:hint="eastAsia" w:ascii="仿宋" w:hAnsi="仿宋" w:eastAsia="仿宋" w:cs="仿宋"/>
                <w:sz w:val="21"/>
                <w:szCs w:val="21"/>
              </w:rPr>
            </w:pPr>
            <w:r>
              <w:rPr>
                <w:rFonts w:hint="eastAsia" w:ascii="仿宋" w:hAnsi="仿宋" w:eastAsia="仿宋" w:cs="仿宋"/>
                <w:sz w:val="21"/>
                <w:szCs w:val="21"/>
              </w:rPr>
              <w:t>工艺流程和产排污环节</w:t>
            </w:r>
          </w:p>
        </w:tc>
        <w:tc>
          <w:tcPr>
            <w:tcW w:w="8161" w:type="dxa"/>
            <w:noWrap w:val="0"/>
            <w:vAlign w:val="top"/>
          </w:tcPr>
          <w:p>
            <w:pPr>
              <w:pStyle w:val="2"/>
              <w:spacing w:line="360" w:lineRule="auto"/>
              <w:jc w:val="center"/>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本项目主要产品方案</w:t>
            </w:r>
            <w:r>
              <w:rPr>
                <w:rFonts w:hint="eastAsia" w:eastAsia="仿宋" w:cs="Times New Roman"/>
                <w:kern w:val="0"/>
                <w:sz w:val="24"/>
                <w:szCs w:val="24"/>
                <w:lang w:val="en-US" w:eastAsia="zh-CN"/>
              </w:rPr>
              <w:t>为模具、金属件淬火加工</w:t>
            </w:r>
            <w:r>
              <w:rPr>
                <w:rFonts w:hint="eastAsia" w:ascii="Times New Roman" w:hAnsi="Times New Roman" w:eastAsia="仿宋" w:cs="Times New Roman"/>
                <w:kern w:val="0"/>
                <w:sz w:val="24"/>
                <w:szCs w:val="24"/>
                <w:lang w:val="en-US" w:eastAsia="zh-CN"/>
              </w:rPr>
              <w:t>，生产工艺如下。</w:t>
            </w:r>
          </w:p>
          <w:p>
            <w:pPr>
              <w:pStyle w:val="2"/>
              <w:spacing w:line="360" w:lineRule="auto"/>
              <w:jc w:val="center"/>
              <w:rPr>
                <w:rFonts w:hint="eastAsia"/>
                <w:lang w:val="en-US" w:eastAsia="zh-CN"/>
              </w:rPr>
            </w:pPr>
            <w:r>
              <w:rPr>
                <w:rFonts w:hint="eastAsia"/>
                <w:lang w:val="en-US" w:eastAsia="zh-CN"/>
              </w:rPr>
              <w:object>
                <v:shape id="_x0000_i1025" o:spt="75" type="#_x0000_t75" style="height:240pt;width:268.5pt;" o:ole="t" filled="f" o:preferrelative="t" stroked="f" coordsize="21600,21600">
                  <v:path/>
                  <v:fill on="f" focussize="0,0"/>
                  <v:stroke on="f"/>
                  <v:imagedata r:id="rId8" o:title=""/>
                  <o:lock v:ext="edit" aspectratio="f"/>
                  <w10:wrap type="none"/>
                  <w10:anchorlock/>
                </v:shape>
                <o:OLEObject Type="Embed" ProgID="Visio.Drawing.11" ShapeID="_x0000_i1025" DrawAspect="Content" ObjectID="_1468075725" r:id="rId7">
                  <o:LockedField>false</o:LockedField>
                </o:OLEObject>
              </w:object>
            </w:r>
          </w:p>
          <w:p>
            <w:pPr>
              <w:pStyle w:val="2"/>
              <w:spacing w:line="360" w:lineRule="auto"/>
              <w:jc w:val="center"/>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图2-1 工艺流程图</w:t>
            </w:r>
          </w:p>
          <w:p>
            <w:pPr>
              <w:pStyle w:val="2"/>
              <w:spacing w:line="360" w:lineRule="auto"/>
              <w:jc w:val="both"/>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工艺流程简介：</w:t>
            </w:r>
          </w:p>
          <w:p>
            <w:pPr>
              <w:pStyle w:val="2"/>
              <w:spacing w:line="360" w:lineRule="auto"/>
              <w:ind w:firstLine="480" w:firstLineChars="200"/>
              <w:jc w:val="left"/>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1、冲压：部分工件由于运输过程中可能会造成工件折弯或者变形，故需要进行冲压加工，使其恢复原状，此过程无产废。</w:t>
            </w:r>
          </w:p>
          <w:p>
            <w:pPr>
              <w:pStyle w:val="2"/>
              <w:spacing w:line="360" w:lineRule="auto"/>
              <w:ind w:firstLine="480" w:firstLineChars="200"/>
              <w:jc w:val="left"/>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2、淬火：淬火是将冲压后的金属件、模具进入电炉（井式淬火炉、箱式电阻炉、网带炉等）加热到所需温度约800℃，并保持一段时间，随后浸入淬冷介质（冷水油池、冷却水池、冷却盐水池）中快速冷却的金属处理工艺，使用的介质分别为淬火油、水、盐水</w:t>
            </w:r>
            <w:r>
              <w:rPr>
                <w:rFonts w:hint="eastAsia" w:ascii="Times New Roman" w:hAnsi="Times New Roman" w:eastAsia="仿宋" w:cs="Times New Roman"/>
                <w:kern w:val="0"/>
                <w:sz w:val="24"/>
                <w:szCs w:val="24"/>
                <w:lang w:val="en-US" w:eastAsia="zh-CN"/>
              </w:rPr>
              <w:t>（企业利用水与工业盐自行配制）</w:t>
            </w:r>
            <w:r>
              <w:rPr>
                <w:rFonts w:hint="default" w:ascii="Times New Roman" w:hAnsi="Times New Roman" w:eastAsia="仿宋" w:cs="Times New Roman"/>
                <w:kern w:val="0"/>
                <w:sz w:val="24"/>
                <w:szCs w:val="24"/>
                <w:lang w:val="en-US" w:eastAsia="zh-CN"/>
              </w:rPr>
              <w:t>，淬火可以提高工件的硬度和耐磨性，定期清理冷却油池。该工序产生有机废气G1、Gu1，废油渣S1。</w:t>
            </w:r>
          </w:p>
          <w:p>
            <w:pPr>
              <w:pStyle w:val="2"/>
              <w:spacing w:line="360" w:lineRule="auto"/>
              <w:ind w:firstLine="480" w:firstLineChars="200"/>
              <w:jc w:val="left"/>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3、回火：淬火完成后的工件进入回火炉，回火温度约400℃，经过保温、降温，将工件降至室温。回火一般用于减小或消除淬火钢件中的内应力，或者降低其硬度和强度，以提高其延性或韧性。回火过程中工件表面的淬火油挥发产生有机废气G2</w:t>
            </w:r>
            <w:r>
              <w:rPr>
                <w:rFonts w:hint="eastAsia" w:ascii="Times New Roman" w:hAnsi="Times New Roman" w:eastAsia="仿宋" w:cs="Times New Roman"/>
                <w:kern w:val="0"/>
                <w:sz w:val="24"/>
                <w:szCs w:val="24"/>
                <w:lang w:val="en-US" w:eastAsia="zh-CN"/>
              </w:rPr>
              <w:t>、Gu2</w:t>
            </w:r>
            <w:r>
              <w:rPr>
                <w:rFonts w:hint="default" w:ascii="Times New Roman" w:hAnsi="Times New Roman" w:eastAsia="仿宋" w:cs="Times New Roman"/>
                <w:kern w:val="0"/>
                <w:sz w:val="24"/>
                <w:szCs w:val="24"/>
                <w:lang w:val="en-US" w:eastAsia="zh-CN"/>
              </w:rPr>
              <w:t>。</w:t>
            </w:r>
          </w:p>
          <w:p>
            <w:pPr>
              <w:pStyle w:val="2"/>
              <w:spacing w:line="360" w:lineRule="auto"/>
              <w:ind w:firstLine="480" w:firstLineChars="200"/>
              <w:jc w:val="left"/>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4、检验：对回火完成后的产品进行检验，检验合格品后即为成品，少量不合格品进行返工处理。</w:t>
            </w:r>
          </w:p>
          <w:p>
            <w:pPr>
              <w:pStyle w:val="2"/>
              <w:spacing w:line="360" w:lineRule="auto"/>
              <w:jc w:val="center"/>
              <w:rPr>
                <w:rFonts w:hint="eastAsia" w:ascii="Times New Roman" w:hAnsi="Times New Roman" w:eastAsia="仿宋" w:cs="Times New Roman"/>
                <w:b/>
                <w:bCs/>
                <w:kern w:val="0"/>
                <w:sz w:val="24"/>
                <w:szCs w:val="24"/>
                <w:lang w:val="en-US" w:eastAsia="zh-CN"/>
              </w:rPr>
            </w:pPr>
          </w:p>
          <w:p>
            <w:pPr>
              <w:pStyle w:val="2"/>
              <w:spacing w:line="360" w:lineRule="auto"/>
              <w:jc w:val="center"/>
              <w:rPr>
                <w:rFonts w:hint="eastAsia" w:ascii="Times New Roman" w:hAnsi="Times New Roman" w:eastAsia="仿宋" w:cs="Times New Roman"/>
                <w:b/>
                <w:bCs/>
                <w:kern w:val="0"/>
                <w:sz w:val="24"/>
                <w:szCs w:val="24"/>
                <w:lang w:val="en-US" w:eastAsia="zh-CN"/>
              </w:rPr>
            </w:pPr>
          </w:p>
          <w:p>
            <w:pPr>
              <w:pStyle w:val="2"/>
              <w:snapToGrid w:val="0"/>
              <w:spacing w:line="240" w:lineRule="auto"/>
              <w:jc w:val="center"/>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表2-7 本项目产污一览表</w:t>
            </w:r>
          </w:p>
          <w:tbl>
            <w:tblPr>
              <w:tblStyle w:val="18"/>
              <w:tblW w:w="4998" w:type="pct"/>
              <w:tblInd w:w="-1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858"/>
              <w:gridCol w:w="2429"/>
              <w:gridCol w:w="29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17"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b/>
                      <w:bCs/>
                      <w:kern w:val="0"/>
                      <w:sz w:val="21"/>
                      <w:szCs w:val="21"/>
                      <w:vertAlign w:val="baseline"/>
                      <w:lang w:val="en-US" w:eastAsia="zh-CN"/>
                    </w:rPr>
                  </w:pPr>
                  <w:r>
                    <w:rPr>
                      <w:rFonts w:hint="default" w:ascii="Times New Roman" w:hAnsi="Times New Roman" w:eastAsia="仿宋" w:cs="Times New Roman"/>
                      <w:b/>
                      <w:bCs/>
                      <w:kern w:val="0"/>
                      <w:sz w:val="21"/>
                      <w:szCs w:val="21"/>
                      <w:vertAlign w:val="baseline"/>
                      <w:lang w:val="en-US" w:eastAsia="zh-CN"/>
                    </w:rPr>
                    <w:t>项目</w:t>
                  </w:r>
                </w:p>
              </w:tc>
              <w:tc>
                <w:tcPr>
                  <w:tcW w:w="110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b/>
                      <w:bCs/>
                      <w:kern w:val="0"/>
                      <w:sz w:val="21"/>
                      <w:szCs w:val="21"/>
                      <w:vertAlign w:val="baseline"/>
                      <w:lang w:val="en-US" w:eastAsia="zh-CN"/>
                    </w:rPr>
                  </w:pPr>
                  <w:r>
                    <w:rPr>
                      <w:rFonts w:hint="default" w:ascii="Times New Roman" w:hAnsi="Times New Roman" w:eastAsia="仿宋" w:cs="Times New Roman"/>
                      <w:b/>
                      <w:bCs/>
                      <w:kern w:val="0"/>
                      <w:sz w:val="21"/>
                      <w:szCs w:val="21"/>
                      <w:vertAlign w:val="baseline"/>
                      <w:lang w:val="en-US" w:eastAsia="zh-CN"/>
                    </w:rPr>
                    <w:t>产污工序</w:t>
                  </w:r>
                </w:p>
              </w:tc>
              <w:tc>
                <w:tcPr>
                  <w:tcW w:w="144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b/>
                      <w:bCs/>
                      <w:kern w:val="0"/>
                      <w:sz w:val="21"/>
                      <w:szCs w:val="21"/>
                      <w:vertAlign w:val="baseline"/>
                      <w:lang w:val="en-US" w:eastAsia="zh-CN"/>
                    </w:rPr>
                  </w:pPr>
                  <w:r>
                    <w:rPr>
                      <w:rFonts w:hint="default" w:ascii="Times New Roman" w:hAnsi="Times New Roman" w:eastAsia="仿宋" w:cs="Times New Roman"/>
                      <w:b/>
                      <w:bCs/>
                      <w:kern w:val="0"/>
                      <w:sz w:val="21"/>
                      <w:szCs w:val="21"/>
                      <w:vertAlign w:val="baseline"/>
                      <w:lang w:val="en-US" w:eastAsia="zh-CN"/>
                    </w:rPr>
                    <w:t>污染物</w:t>
                  </w:r>
                </w:p>
              </w:tc>
              <w:tc>
                <w:tcPr>
                  <w:tcW w:w="1729"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b/>
                      <w:bCs/>
                      <w:kern w:val="0"/>
                      <w:sz w:val="21"/>
                      <w:szCs w:val="21"/>
                      <w:vertAlign w:val="baseline"/>
                      <w:lang w:val="en-US" w:eastAsia="zh-CN"/>
                    </w:rPr>
                  </w:pPr>
                  <w:r>
                    <w:rPr>
                      <w:rFonts w:hint="default" w:ascii="Times New Roman" w:hAnsi="Times New Roman" w:eastAsia="仿宋" w:cs="Times New Roman"/>
                      <w:b/>
                      <w:bCs/>
                      <w:kern w:val="0"/>
                      <w:sz w:val="21"/>
                      <w:szCs w:val="21"/>
                      <w:vertAlign w:val="baseline"/>
                      <w:lang w:val="en-US" w:eastAsia="zh-CN"/>
                    </w:rPr>
                    <w:t>主要污染因子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17" w:type="pct"/>
                  <w:vMerge w:val="restar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废气</w:t>
                  </w:r>
                </w:p>
              </w:tc>
              <w:tc>
                <w:tcPr>
                  <w:tcW w:w="110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淬火</w:t>
                  </w:r>
                </w:p>
              </w:tc>
              <w:tc>
                <w:tcPr>
                  <w:tcW w:w="144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非甲烷总烃G1</w:t>
                  </w:r>
                  <w:r>
                    <w:rPr>
                      <w:rFonts w:hint="eastAsia" w:ascii="Times New Roman" w:hAnsi="Times New Roman" w:eastAsia="仿宋" w:cs="Times New Roman"/>
                      <w:kern w:val="0"/>
                      <w:sz w:val="21"/>
                      <w:szCs w:val="21"/>
                      <w:vertAlign w:val="baseline"/>
                      <w:lang w:val="en-US" w:eastAsia="zh-CN"/>
                    </w:rPr>
                    <w:t>、Gu1</w:t>
                  </w:r>
                </w:p>
              </w:tc>
              <w:tc>
                <w:tcPr>
                  <w:tcW w:w="1729"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非甲烷总烃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17" w:type="pct"/>
                  <w:vMerge w:val="continue"/>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p>
              </w:tc>
              <w:tc>
                <w:tcPr>
                  <w:tcW w:w="110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回火</w:t>
                  </w:r>
                </w:p>
              </w:tc>
              <w:tc>
                <w:tcPr>
                  <w:tcW w:w="144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非甲烷总烃G2</w:t>
                  </w:r>
                  <w:r>
                    <w:rPr>
                      <w:rFonts w:hint="eastAsia" w:ascii="Times New Roman" w:hAnsi="Times New Roman" w:eastAsia="仿宋" w:cs="Times New Roman"/>
                      <w:kern w:val="0"/>
                      <w:sz w:val="21"/>
                      <w:szCs w:val="21"/>
                      <w:vertAlign w:val="baseline"/>
                      <w:lang w:val="en-US" w:eastAsia="zh-CN"/>
                    </w:rPr>
                    <w:t>、Gu2</w:t>
                  </w:r>
                </w:p>
              </w:tc>
              <w:tc>
                <w:tcPr>
                  <w:tcW w:w="1729"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非甲烷总烃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17"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废水</w:t>
                  </w:r>
                </w:p>
              </w:tc>
              <w:tc>
                <w:tcPr>
                  <w:tcW w:w="110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员工生活</w:t>
                  </w:r>
                </w:p>
              </w:tc>
              <w:tc>
                <w:tcPr>
                  <w:tcW w:w="144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生活污水</w:t>
                  </w:r>
                </w:p>
              </w:tc>
              <w:tc>
                <w:tcPr>
                  <w:tcW w:w="1729"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pH、COD、氨氮、SS、TP、TN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17" w:type="pct"/>
                  <w:vMerge w:val="restar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固废</w:t>
                  </w:r>
                </w:p>
              </w:tc>
              <w:tc>
                <w:tcPr>
                  <w:tcW w:w="110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员工生活</w:t>
                  </w:r>
                </w:p>
              </w:tc>
              <w:tc>
                <w:tcPr>
                  <w:tcW w:w="144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生活垃圾</w:t>
                  </w:r>
                </w:p>
              </w:tc>
              <w:tc>
                <w:tcPr>
                  <w:tcW w:w="1729"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7" w:type="pct"/>
                  <w:vMerge w:val="continue"/>
                  <w:tcBorders>
                    <w:tl2br w:val="nil"/>
                    <w:tr2bl w:val="nil"/>
                  </w:tcBorders>
                  <w:vAlign w:val="center"/>
                </w:tcPr>
                <w:p>
                  <w:pPr>
                    <w:pStyle w:val="2"/>
                    <w:snapToGrid w:val="0"/>
                    <w:spacing w:line="240" w:lineRule="auto"/>
                    <w:jc w:val="center"/>
                    <w:rPr>
                      <w:rFonts w:hint="default" w:ascii="Times New Roman" w:hAnsi="Times New Roman" w:eastAsia="仿宋" w:cs="Times New Roman"/>
                      <w:sz w:val="21"/>
                      <w:szCs w:val="21"/>
                    </w:rPr>
                  </w:pPr>
                </w:p>
              </w:tc>
              <w:tc>
                <w:tcPr>
                  <w:tcW w:w="1106" w:type="pct"/>
                  <w:vMerge w:val="restar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废气处理</w:t>
                  </w:r>
                </w:p>
              </w:tc>
              <w:tc>
                <w:tcPr>
                  <w:tcW w:w="144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auto"/>
                      <w:sz w:val="21"/>
                      <w:szCs w:val="21"/>
                      <w:highlight w:val="none"/>
                      <w:lang w:val="en-US" w:eastAsia="zh-CN"/>
                    </w:rPr>
                    <w:t>废UV灯管</w:t>
                  </w:r>
                </w:p>
              </w:tc>
              <w:tc>
                <w:tcPr>
                  <w:tcW w:w="1729"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auto"/>
                      <w:sz w:val="21"/>
                      <w:szCs w:val="21"/>
                      <w:highlight w:val="none"/>
                    </w:rPr>
                    <w:t>UV灯管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7" w:type="pct"/>
                  <w:vMerge w:val="continue"/>
                  <w:tcBorders>
                    <w:tl2br w:val="nil"/>
                    <w:tr2bl w:val="nil"/>
                  </w:tcBorders>
                  <w:vAlign w:val="center"/>
                </w:tcPr>
                <w:p>
                  <w:pPr>
                    <w:pStyle w:val="2"/>
                    <w:snapToGrid w:val="0"/>
                    <w:spacing w:line="240" w:lineRule="auto"/>
                    <w:jc w:val="center"/>
                    <w:rPr>
                      <w:rFonts w:hint="default" w:ascii="Times New Roman" w:hAnsi="Times New Roman" w:eastAsia="仿宋" w:cs="Times New Roman"/>
                      <w:sz w:val="21"/>
                      <w:szCs w:val="21"/>
                    </w:rPr>
                  </w:pPr>
                </w:p>
              </w:tc>
              <w:tc>
                <w:tcPr>
                  <w:tcW w:w="1106" w:type="pct"/>
                  <w:vMerge w:val="continue"/>
                  <w:tcBorders>
                    <w:tl2br w:val="nil"/>
                    <w:tr2bl w:val="nil"/>
                  </w:tcBorders>
                  <w:vAlign w:val="center"/>
                </w:tcPr>
                <w:p>
                  <w:pPr>
                    <w:pStyle w:val="2"/>
                    <w:snapToGrid w:val="0"/>
                    <w:spacing w:line="240" w:lineRule="auto"/>
                    <w:jc w:val="center"/>
                    <w:rPr>
                      <w:rFonts w:hint="default" w:ascii="Times New Roman" w:hAnsi="Times New Roman" w:eastAsia="仿宋" w:cs="Times New Roman"/>
                      <w:sz w:val="21"/>
                      <w:szCs w:val="21"/>
                    </w:rPr>
                  </w:pPr>
                </w:p>
              </w:tc>
              <w:tc>
                <w:tcPr>
                  <w:tcW w:w="144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auto"/>
                      <w:sz w:val="21"/>
                      <w:szCs w:val="21"/>
                      <w:highlight w:val="none"/>
                      <w:lang w:val="en-US" w:eastAsia="zh-CN"/>
                    </w:rPr>
                    <w:t>废活性炭</w:t>
                  </w:r>
                </w:p>
              </w:tc>
              <w:tc>
                <w:tcPr>
                  <w:tcW w:w="1729"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auto"/>
                      <w:sz w:val="21"/>
                      <w:szCs w:val="21"/>
                      <w:highlight w:val="none"/>
                    </w:rPr>
                    <w:t>活性炭、有机物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17" w:type="pct"/>
                  <w:vMerge w:val="continue"/>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p>
              </w:tc>
              <w:tc>
                <w:tcPr>
                  <w:tcW w:w="1106" w:type="pct"/>
                  <w:vMerge w:val="restar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原料包装</w:t>
                  </w:r>
                </w:p>
              </w:tc>
              <w:tc>
                <w:tcPr>
                  <w:tcW w:w="144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废油桶</w:t>
                  </w:r>
                </w:p>
              </w:tc>
              <w:tc>
                <w:tcPr>
                  <w:tcW w:w="1729"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油、金属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17" w:type="pct"/>
                  <w:vMerge w:val="continue"/>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p>
              </w:tc>
              <w:tc>
                <w:tcPr>
                  <w:tcW w:w="1106" w:type="pct"/>
                  <w:vMerge w:val="continue"/>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p>
              </w:tc>
              <w:tc>
                <w:tcPr>
                  <w:tcW w:w="144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废甲醇桶</w:t>
                  </w:r>
                </w:p>
              </w:tc>
              <w:tc>
                <w:tcPr>
                  <w:tcW w:w="1729"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甲醇、金属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17" w:type="pct"/>
                  <w:vMerge w:val="continue"/>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p>
              </w:tc>
              <w:tc>
                <w:tcPr>
                  <w:tcW w:w="110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淬火</w:t>
                  </w:r>
                </w:p>
              </w:tc>
              <w:tc>
                <w:tcPr>
                  <w:tcW w:w="144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废油渣S1</w:t>
                  </w:r>
                </w:p>
              </w:tc>
              <w:tc>
                <w:tcPr>
                  <w:tcW w:w="1729"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淬火油等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17" w:type="pct"/>
                  <w:vMerge w:val="continue"/>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p>
              </w:tc>
              <w:tc>
                <w:tcPr>
                  <w:tcW w:w="110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生产</w:t>
                  </w:r>
                </w:p>
              </w:tc>
              <w:tc>
                <w:tcPr>
                  <w:tcW w:w="1446"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含油废抹布、手套</w:t>
                  </w:r>
                </w:p>
              </w:tc>
              <w:tc>
                <w:tcPr>
                  <w:tcW w:w="1729"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油、</w:t>
                  </w:r>
                  <w:r>
                    <w:rPr>
                      <w:rFonts w:hint="eastAsia" w:ascii="Times New Roman" w:hAnsi="Times New Roman" w:eastAsia="仿宋" w:cs="Times New Roman"/>
                      <w:kern w:val="0"/>
                      <w:sz w:val="21"/>
                      <w:szCs w:val="21"/>
                      <w:vertAlign w:val="baseline"/>
                      <w:lang w:val="en-US" w:eastAsia="zh-CN"/>
                    </w:rPr>
                    <w:t>甲醇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17" w:type="pct"/>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噪声</w:t>
                  </w:r>
                </w:p>
              </w:tc>
              <w:tc>
                <w:tcPr>
                  <w:tcW w:w="4282" w:type="pct"/>
                  <w:gridSpan w:val="3"/>
                  <w:tcBorders>
                    <w:tl2br w:val="nil"/>
                    <w:tr2bl w:val="nil"/>
                  </w:tcBorders>
                  <w:vAlign w:val="center"/>
                </w:tcPr>
                <w:p>
                  <w:pPr>
                    <w:pStyle w:val="2"/>
                    <w:snapToGrid w:val="0"/>
                    <w:spacing w:line="240" w:lineRule="auto"/>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本项目主要噪声源为淬火炉、冲床等，噪声值在60-</w:t>
                  </w:r>
                  <w:r>
                    <w:rPr>
                      <w:rFonts w:hint="eastAsia" w:ascii="Times New Roman" w:hAnsi="Times New Roman" w:eastAsia="仿宋" w:cs="Times New Roman"/>
                      <w:kern w:val="0"/>
                      <w:sz w:val="21"/>
                      <w:szCs w:val="21"/>
                      <w:vertAlign w:val="baseline"/>
                      <w:lang w:val="en-US" w:eastAsia="zh-CN"/>
                    </w:rPr>
                    <w:t>90</w:t>
                  </w:r>
                  <w:r>
                    <w:rPr>
                      <w:rFonts w:hint="default" w:ascii="Times New Roman" w:hAnsi="Times New Roman" w:eastAsia="仿宋" w:cs="Times New Roman"/>
                      <w:kern w:val="0"/>
                      <w:sz w:val="21"/>
                      <w:szCs w:val="21"/>
                      <w:vertAlign w:val="baseline"/>
                      <w:lang w:val="en-US" w:eastAsia="zh-CN"/>
                    </w:rPr>
                    <w:t>分贝之间。</w:t>
                  </w:r>
                </w:p>
              </w:tc>
            </w:tr>
          </w:tbl>
          <w:p>
            <w:pPr>
              <w:pStyle w:val="2"/>
              <w:spacing w:line="360" w:lineRule="auto"/>
              <w:jc w:val="both"/>
              <w:rPr>
                <w:rFonts w:hint="default" w:ascii="Times New Roman" w:hAnsi="Times New Roman" w:eastAsia="仿宋" w:cs="Times New Roman"/>
                <w:b/>
                <w:bCs/>
                <w:color w:val="auto"/>
                <w:kern w:val="0"/>
                <w:sz w:val="24"/>
                <w:szCs w:val="24"/>
                <w:lang w:val="en-US" w:eastAsia="zh-CN" w:bidi="ar-SA"/>
              </w:rPr>
            </w:pPr>
            <w:r>
              <w:rPr>
                <w:rFonts w:hint="eastAsia" w:ascii="Times New Roman" w:hAnsi="Times New Roman" w:eastAsia="仿宋" w:cs="Times New Roman"/>
                <w:b/>
                <w:bCs/>
                <w:color w:val="auto"/>
                <w:kern w:val="0"/>
                <w:sz w:val="24"/>
                <w:szCs w:val="24"/>
                <w:lang w:val="en-US" w:eastAsia="zh-CN" w:bidi="ar-SA"/>
              </w:rPr>
              <w:t>本项目水平衡见下图：</w:t>
            </w:r>
          </w:p>
          <w:p>
            <w:pPr>
              <w:pStyle w:val="2"/>
              <w:spacing w:line="360" w:lineRule="auto"/>
              <w:jc w:val="center"/>
              <w:rPr>
                <w:rFonts w:hint="default" w:ascii="Times New Roman" w:hAnsi="Times New Roman" w:eastAsia="仿宋" w:cs="Times New Roman"/>
                <w:b/>
                <w:bCs/>
                <w:color w:val="auto"/>
                <w:kern w:val="0"/>
                <w:sz w:val="24"/>
                <w:szCs w:val="24"/>
                <w:lang w:val="en-US" w:eastAsia="zh-CN" w:bidi="ar-SA"/>
              </w:rPr>
            </w:pPr>
            <w:r>
              <w:rPr>
                <w:rFonts w:hint="default" w:ascii="Times New Roman" w:hAnsi="Times New Roman" w:eastAsia="仿宋" w:cs="Times New Roman"/>
                <w:b/>
                <w:bCs/>
                <w:color w:val="auto"/>
                <w:kern w:val="0"/>
                <w:sz w:val="24"/>
                <w:szCs w:val="24"/>
                <w:lang w:val="en-US" w:eastAsia="zh-CN" w:bidi="ar-SA"/>
              </w:rPr>
              <w:object>
                <v:shape id="_x0000_i1026" o:spt="75" type="#_x0000_t75" style="height:94.5pt;width:272.25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6" r:id="rId9">
                  <o:LockedField>false</o:LockedField>
                </o:OLEObject>
              </w:object>
            </w:r>
          </w:p>
          <w:p>
            <w:pPr>
              <w:pStyle w:val="2"/>
              <w:spacing w:line="360" w:lineRule="auto"/>
              <w:jc w:val="center"/>
              <w:rPr>
                <w:rFonts w:hint="default" w:ascii="宋体" w:hAnsi="宋体"/>
                <w:bCs/>
                <w:szCs w:val="21"/>
                <w:lang w:val="en-US" w:eastAsia="zh-CN"/>
              </w:rPr>
            </w:pPr>
            <w:r>
              <w:rPr>
                <w:rFonts w:hint="default" w:ascii="Times New Roman" w:hAnsi="Times New Roman" w:eastAsia="仿宋" w:cs="Times New Roman"/>
                <w:b/>
                <w:bCs/>
                <w:color w:val="auto"/>
                <w:kern w:val="0"/>
                <w:sz w:val="24"/>
                <w:szCs w:val="24"/>
                <w:lang w:val="en-US" w:eastAsia="zh-CN" w:bidi="ar-SA"/>
              </w:rPr>
              <w:t>图</w:t>
            </w:r>
            <w:r>
              <w:rPr>
                <w:rFonts w:hint="eastAsia" w:ascii="Times New Roman" w:hAnsi="Times New Roman" w:eastAsia="仿宋" w:cs="Times New Roman"/>
                <w:b/>
                <w:bCs/>
                <w:color w:val="auto"/>
                <w:kern w:val="0"/>
                <w:sz w:val="24"/>
                <w:szCs w:val="24"/>
                <w:lang w:val="en-US" w:eastAsia="zh-CN" w:bidi="ar-SA"/>
              </w:rPr>
              <w:t>2</w:t>
            </w:r>
            <w:r>
              <w:rPr>
                <w:rFonts w:hint="default" w:ascii="Times New Roman" w:hAnsi="Times New Roman" w:eastAsia="仿宋" w:cs="Times New Roman"/>
                <w:b/>
                <w:bCs/>
                <w:color w:val="auto"/>
                <w:kern w:val="0"/>
                <w:sz w:val="24"/>
                <w:szCs w:val="24"/>
                <w:lang w:val="en-US" w:eastAsia="zh-CN" w:bidi="ar-SA"/>
              </w:rPr>
              <w:t xml:space="preserve">-2 </w:t>
            </w:r>
            <w:r>
              <w:rPr>
                <w:rFonts w:hint="eastAsia" w:ascii="Times New Roman" w:hAnsi="Times New Roman" w:eastAsia="仿宋" w:cs="Times New Roman"/>
                <w:b/>
                <w:bCs/>
                <w:color w:val="auto"/>
                <w:kern w:val="0"/>
                <w:sz w:val="24"/>
                <w:szCs w:val="24"/>
                <w:lang w:val="en-US" w:eastAsia="zh-CN" w:bidi="ar-SA"/>
              </w:rPr>
              <w:t>本项目</w:t>
            </w:r>
            <w:r>
              <w:rPr>
                <w:rFonts w:hint="default" w:ascii="Times New Roman" w:hAnsi="Times New Roman" w:eastAsia="仿宋" w:cs="Times New Roman"/>
                <w:b/>
                <w:bCs/>
                <w:color w:val="auto"/>
                <w:kern w:val="0"/>
                <w:sz w:val="24"/>
                <w:szCs w:val="24"/>
                <w:lang w:val="en-US" w:eastAsia="zh-CN" w:bidi="ar-SA"/>
              </w:rPr>
              <w:t>水平衡图（t/a）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pPr>
              <w:pStyle w:val="13"/>
              <w:adjustRightInd w:val="0"/>
              <w:snapToGrid w:val="0"/>
              <w:spacing w:before="0" w:beforeAutospacing="0" w:after="0" w:afterAutospacing="0"/>
              <w:jc w:val="center"/>
              <w:rPr>
                <w:rFonts w:hint="eastAsia" w:ascii="仿宋" w:hAnsi="仿宋" w:eastAsia="仿宋" w:cs="仿宋"/>
                <w:sz w:val="21"/>
                <w:szCs w:val="21"/>
              </w:rPr>
            </w:pPr>
            <w:r>
              <w:rPr>
                <w:rFonts w:hint="eastAsia" w:ascii="仿宋" w:hAnsi="仿宋" w:eastAsia="仿宋" w:cs="仿宋"/>
                <w:bCs/>
                <w:kern w:val="2"/>
                <w:sz w:val="21"/>
                <w:szCs w:val="21"/>
              </w:rPr>
              <w:t>与项目有关的原有环境污染问题</w:t>
            </w:r>
          </w:p>
        </w:tc>
        <w:tc>
          <w:tcPr>
            <w:tcW w:w="8161" w:type="dxa"/>
            <w:noWrap w:val="0"/>
            <w:vAlign w:val="top"/>
          </w:tcPr>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1.现有项目情况</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表2-8 原有项目环保手续情况</w:t>
            </w:r>
          </w:p>
          <w:tbl>
            <w:tblPr>
              <w:tblStyle w:val="18"/>
              <w:tblW w:w="4998" w:type="pct"/>
              <w:tblInd w:w="-7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122"/>
              <w:gridCol w:w="1327"/>
              <w:gridCol w:w="1369"/>
              <w:gridCol w:w="1222"/>
              <w:gridCol w:w="1032"/>
              <w:gridCol w:w="12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项目名称</w:t>
                  </w:r>
                </w:p>
              </w:tc>
              <w:tc>
                <w:tcPr>
                  <w:tcW w:w="2273" w:type="pct"/>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产品及产能</w:t>
                  </w:r>
                </w:p>
              </w:tc>
              <w:tc>
                <w:tcPr>
                  <w:tcW w:w="727"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批复情况</w:t>
                  </w:r>
                </w:p>
              </w:tc>
              <w:tc>
                <w:tcPr>
                  <w:tcW w:w="614"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验收情况</w:t>
                  </w:r>
                </w:p>
              </w:tc>
              <w:tc>
                <w:tcPr>
                  <w:tcW w:w="715"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排污许可证申领情况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6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产品</w:t>
                  </w:r>
                </w:p>
              </w:tc>
              <w:tc>
                <w:tcPr>
                  <w:tcW w:w="79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设计产能</w:t>
                  </w:r>
                </w:p>
              </w:tc>
              <w:tc>
                <w:tcPr>
                  <w:tcW w:w="81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实际产能</w:t>
                  </w:r>
                </w:p>
              </w:tc>
              <w:tc>
                <w:tcPr>
                  <w:tcW w:w="727"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614"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71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6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lang w:val="en-US" w:eastAsia="zh-CN"/>
                    </w:rPr>
                    <w:t>淬火加工</w:t>
                  </w:r>
                  <w:r>
                    <w:rPr>
                      <w:rFonts w:hint="default" w:ascii="Times New Roman" w:hAnsi="Times New Roman" w:eastAsia="仿宋" w:cs="Times New Roman"/>
                      <w:sz w:val="21"/>
                      <w:szCs w:val="21"/>
                    </w:rPr>
                    <w:t>项目</w:t>
                  </w:r>
                </w:p>
              </w:tc>
              <w:tc>
                <w:tcPr>
                  <w:tcW w:w="6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lang w:val="en-US" w:eastAsia="zh-CN"/>
                    </w:rPr>
                    <w:t>柴油机配件淬火</w:t>
                  </w:r>
                </w:p>
              </w:tc>
              <w:tc>
                <w:tcPr>
                  <w:tcW w:w="790" w:type="pct"/>
                  <w:tcBorders>
                    <w:tl2br w:val="nil"/>
                    <w:tr2bl w:val="nil"/>
                  </w:tcBorders>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lang w:val="en-US" w:eastAsia="zh-CN"/>
                    </w:rPr>
                    <w:t>10万件/a</w:t>
                  </w:r>
                </w:p>
              </w:tc>
              <w:tc>
                <w:tcPr>
                  <w:tcW w:w="815" w:type="pct"/>
                  <w:tcBorders>
                    <w:tl2br w:val="nil"/>
                    <w:tr2bl w:val="nil"/>
                  </w:tcBorders>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eastAsia" w:eastAsia="仿宋" w:cs="Times New Roman"/>
                      <w:sz w:val="21"/>
                      <w:szCs w:val="21"/>
                      <w:lang w:val="en-US" w:eastAsia="zh-CN"/>
                    </w:rPr>
                    <w:t>/</w:t>
                  </w:r>
                </w:p>
              </w:tc>
              <w:tc>
                <w:tcPr>
                  <w:tcW w:w="727"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2004年3月17日通过常州市武进区环保局审批</w:t>
                  </w:r>
                </w:p>
              </w:tc>
              <w:tc>
                <w:tcPr>
                  <w:tcW w:w="614"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2007年10月通过验收</w:t>
                  </w:r>
                </w:p>
              </w:tc>
              <w:tc>
                <w:tcPr>
                  <w:tcW w:w="715"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sz w:val="21"/>
                      <w:szCs w:val="21"/>
                    </w:rPr>
                  </w:pPr>
                </w:p>
              </w:tc>
              <w:tc>
                <w:tcPr>
                  <w:tcW w:w="6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lang w:val="en-US" w:eastAsia="zh-CN"/>
                    </w:rPr>
                    <w:t>模具淬火</w:t>
                  </w:r>
                </w:p>
              </w:tc>
              <w:tc>
                <w:tcPr>
                  <w:tcW w:w="790" w:type="pct"/>
                  <w:tcBorders>
                    <w:tl2br w:val="nil"/>
                    <w:tr2bl w:val="nil"/>
                  </w:tcBorders>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lang w:val="en-US" w:eastAsia="zh-CN"/>
                    </w:rPr>
                    <w:t>100套/a</w:t>
                  </w:r>
                </w:p>
              </w:tc>
              <w:tc>
                <w:tcPr>
                  <w:tcW w:w="815" w:type="pct"/>
                  <w:tcBorders>
                    <w:tl2br w:val="nil"/>
                    <w:tr2bl w:val="nil"/>
                  </w:tcBorders>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lang w:val="en-US" w:eastAsia="zh-CN"/>
                    </w:rPr>
                    <w:t>100套/a</w:t>
                  </w:r>
                </w:p>
              </w:tc>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614"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715"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lang w:val="en-US" w:eastAsia="zh-CN"/>
                    </w:rPr>
                    <w:t>自查评估报告</w:t>
                  </w:r>
                </w:p>
              </w:tc>
              <w:tc>
                <w:tcPr>
                  <w:tcW w:w="668" w:type="pct"/>
                  <w:tcBorders>
                    <w:tl2br w:val="nil"/>
                    <w:tr2bl w:val="nil"/>
                  </w:tcBorders>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lang w:val="en-US" w:eastAsia="zh-CN"/>
                    </w:rPr>
                    <w:t>机械配件</w:t>
                  </w:r>
                </w:p>
              </w:tc>
              <w:tc>
                <w:tcPr>
                  <w:tcW w:w="79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lang w:val="en-US" w:eastAsia="zh-CN"/>
                    </w:rPr>
                    <w:t>8万件/a</w:t>
                  </w:r>
                </w:p>
              </w:tc>
              <w:tc>
                <w:tcPr>
                  <w:tcW w:w="81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0" w:leftChars="0" w:firstLine="0" w:firstLineChars="0"/>
                    <w:jc w:val="center"/>
                    <w:textAlignment w:val="auto"/>
                    <w:rPr>
                      <w:rFonts w:hint="default" w:ascii="Times New Roman" w:hAnsi="Times New Roman" w:eastAsia="仿宋" w:cs="Times New Roman"/>
                      <w:kern w:val="0"/>
                      <w:sz w:val="21"/>
                      <w:szCs w:val="21"/>
                      <w:vertAlign w:val="baseline"/>
                      <w:lang w:val="en-US" w:eastAsia="zh-CN"/>
                    </w:rPr>
                  </w:pPr>
                  <w:r>
                    <w:rPr>
                      <w:rFonts w:hint="eastAsia" w:eastAsia="仿宋" w:cs="Times New Roman"/>
                      <w:sz w:val="21"/>
                      <w:szCs w:val="21"/>
                      <w:lang w:val="en-US" w:eastAsia="zh-CN"/>
                    </w:rPr>
                    <w:t>/</w:t>
                  </w:r>
                </w:p>
              </w:tc>
              <w:tc>
                <w:tcPr>
                  <w:tcW w:w="727"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0" w:leftChars="0" w:firstLine="0" w:firstLineChars="0"/>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w:t>
                  </w:r>
                </w:p>
              </w:tc>
              <w:tc>
                <w:tcPr>
                  <w:tcW w:w="614"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0" w:leftChars="0" w:firstLine="0" w:firstLineChars="0"/>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w:t>
                  </w:r>
                </w:p>
              </w:tc>
              <w:tc>
                <w:tcPr>
                  <w:tcW w:w="715"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rPr>
                  </w:pPr>
                </w:p>
              </w:tc>
              <w:tc>
                <w:tcPr>
                  <w:tcW w:w="668" w:type="pct"/>
                  <w:tcBorders>
                    <w:tl2br w:val="nil"/>
                    <w:tr2bl w:val="nil"/>
                  </w:tcBorders>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lang w:val="en-US" w:eastAsia="zh-CN"/>
                    </w:rPr>
                    <w:t>金属件表面淬火</w:t>
                  </w:r>
                </w:p>
              </w:tc>
              <w:tc>
                <w:tcPr>
                  <w:tcW w:w="79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lang w:val="en-US" w:eastAsia="zh-CN"/>
                    </w:rPr>
                    <w:t>1000t/a</w:t>
                  </w:r>
                </w:p>
              </w:tc>
              <w:tc>
                <w:tcPr>
                  <w:tcW w:w="81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0" w:leftChars="0" w:firstLine="0" w:firstLineChars="0"/>
                    <w:jc w:val="center"/>
                    <w:textAlignment w:val="auto"/>
                    <w:rPr>
                      <w:rFonts w:hint="default" w:ascii="Times New Roman" w:hAnsi="Times New Roman" w:eastAsia="仿宋" w:cs="Times New Roman"/>
                      <w:kern w:val="0"/>
                      <w:sz w:val="21"/>
                      <w:szCs w:val="21"/>
                      <w:vertAlign w:val="baseline"/>
                      <w:lang w:val="en-US" w:eastAsia="zh-CN"/>
                    </w:rPr>
                  </w:pPr>
                  <w:r>
                    <w:rPr>
                      <w:rFonts w:hint="eastAsia" w:eastAsia="仿宋" w:cs="Times New Roman"/>
                      <w:sz w:val="21"/>
                      <w:szCs w:val="21"/>
                      <w:lang w:val="en-US" w:eastAsia="zh-CN"/>
                    </w:rPr>
                    <w:t>400</w:t>
                  </w:r>
                  <w:r>
                    <w:rPr>
                      <w:rFonts w:hint="default" w:ascii="Times New Roman" w:hAnsi="Times New Roman" w:eastAsia="仿宋" w:cs="Times New Roman"/>
                      <w:sz w:val="21"/>
                      <w:szCs w:val="21"/>
                      <w:lang w:val="en-US" w:eastAsia="zh-CN"/>
                    </w:rPr>
                    <w:t>t/a</w:t>
                  </w:r>
                </w:p>
              </w:tc>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614"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715"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2.主要污染物产生环节、治理措施、达标排放情况</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eastAsia="仿宋" w:cs="Times New Roman"/>
                <w:b/>
                <w:bCs/>
                <w:kern w:val="0"/>
                <w:sz w:val="24"/>
                <w:szCs w:val="24"/>
                <w:lang w:val="en-US" w:eastAsia="zh-CN"/>
              </w:rPr>
            </w:pPr>
            <w:r>
              <w:rPr>
                <w:rFonts w:hint="eastAsia" w:eastAsia="仿宋" w:cs="Times New Roman"/>
                <w:b/>
                <w:bCs/>
                <w:kern w:val="0"/>
                <w:sz w:val="24"/>
                <w:szCs w:val="24"/>
                <w:lang w:val="en-US" w:eastAsia="zh-CN"/>
              </w:rPr>
              <w:t>原有项目产品生产工艺</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Times New Roman"/>
                <w:color w:val="000000"/>
                <w:highlight w:val="none"/>
                <w:lang w:val="en-US" w:eastAsia="zh-CN"/>
              </w:rPr>
            </w:pPr>
            <w:r>
              <w:rPr>
                <w:rFonts w:hint="default" w:ascii="Times New Roman" w:hAnsi="Times New Roman" w:eastAsia="仿宋" w:cs="Times New Roman"/>
                <w:color w:val="000000"/>
                <w:highlight w:val="none"/>
                <w:lang w:val="en-US" w:eastAsia="zh-CN"/>
              </w:rPr>
              <w:t>①金属件淬火</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object>
                <v:shape id="_x0000_i1027" o:spt="75" type="#_x0000_t75" style="height:265.5pt;width:302.25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eastAsia="仿宋" w:cs="Times New Roman"/>
                <w:b/>
                <w:bCs/>
                <w:color w:val="000000"/>
                <w:highlight w:val="none"/>
                <w:lang w:val="en-US" w:eastAsia="zh-CN"/>
              </w:rPr>
              <w:t>图2-</w:t>
            </w:r>
            <w:r>
              <w:rPr>
                <w:rFonts w:hint="eastAsia" w:ascii="Times New Roman" w:hAnsi="Times New Roman" w:eastAsia="仿宋" w:cs="Times New Roman"/>
                <w:b/>
                <w:bCs/>
                <w:color w:val="000000"/>
                <w:highlight w:val="none"/>
                <w:lang w:val="en-US" w:eastAsia="zh-CN"/>
              </w:rPr>
              <w:t>3</w:t>
            </w:r>
            <w:r>
              <w:rPr>
                <w:rFonts w:hint="default" w:ascii="Times New Roman" w:hAnsi="Times New Roman" w:eastAsia="仿宋" w:cs="Times New Roman"/>
                <w:b/>
                <w:bCs/>
                <w:color w:val="000000"/>
                <w:highlight w:val="none"/>
                <w:lang w:val="en-US" w:eastAsia="zh-CN"/>
              </w:rPr>
              <w:t xml:space="preserve"> 淬火件工艺流程图</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eastAsia="仿宋" w:cs="Times New Roman"/>
                <w:b w:val="0"/>
                <w:bCs w:val="0"/>
                <w:color w:val="000000"/>
                <w:highlight w:val="none"/>
                <w:lang w:val="en-US" w:eastAsia="zh-CN"/>
              </w:rPr>
            </w:pPr>
            <w:r>
              <w:rPr>
                <w:rFonts w:hint="eastAsia" w:ascii="Times New Roman" w:hAnsi="Times New Roman" w:eastAsia="仿宋" w:cs="Times New Roman"/>
                <w:kern w:val="0"/>
                <w:sz w:val="24"/>
                <w:szCs w:val="24"/>
                <w:lang w:val="en-US" w:eastAsia="zh-CN"/>
              </w:rPr>
              <w:t>1、冲压：部分须进行加工的工件由于运输过程中可能会造成工件折弯或者变形，故需要进行冲压加工，使其恢复原状，此过程无产废。</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仿宋" w:cs="Times New Roman"/>
                <w:b w:val="0"/>
                <w:bCs w:val="0"/>
                <w:color w:val="000000"/>
                <w:highlight w:val="none"/>
                <w:lang w:val="en-US" w:eastAsia="zh-CN"/>
              </w:rPr>
            </w:pPr>
            <w:r>
              <w:rPr>
                <w:rFonts w:hint="eastAsia" w:ascii="Times New Roman" w:hAnsi="Times New Roman" w:eastAsia="仿宋" w:cs="Times New Roman"/>
                <w:b w:val="0"/>
                <w:bCs w:val="0"/>
                <w:color w:val="000000"/>
                <w:highlight w:val="none"/>
                <w:lang w:val="en-US" w:eastAsia="zh-CN"/>
              </w:rPr>
              <w:t>2、</w:t>
            </w:r>
            <w:r>
              <w:rPr>
                <w:rFonts w:hint="default" w:ascii="Times New Roman" w:hAnsi="Times New Roman" w:eastAsia="仿宋" w:cs="Times New Roman"/>
                <w:b w:val="0"/>
                <w:bCs w:val="0"/>
                <w:color w:val="000000"/>
                <w:highlight w:val="none"/>
                <w:lang w:val="en-US" w:eastAsia="zh-CN"/>
              </w:rPr>
              <w:t>淬火</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仿宋" w:cs="Times New Roman"/>
                <w:b w:val="0"/>
                <w:bCs w:val="0"/>
                <w:color w:val="000000"/>
                <w:highlight w:val="none"/>
                <w:lang w:val="en-US" w:eastAsia="zh-CN"/>
              </w:rPr>
            </w:pPr>
            <w:r>
              <w:rPr>
                <w:rFonts w:hint="eastAsia" w:ascii="Times New Roman" w:hAnsi="Times New Roman" w:eastAsia="仿宋" w:cs="Times New Roman"/>
                <w:b w:val="0"/>
                <w:bCs w:val="0"/>
                <w:color w:val="000000"/>
                <w:highlight w:val="none"/>
                <w:lang w:val="en-US" w:eastAsia="zh-CN"/>
              </w:rPr>
              <w:t>油淬</w:t>
            </w:r>
            <w:r>
              <w:rPr>
                <w:rFonts w:hint="default" w:ascii="Times New Roman" w:hAnsi="Times New Roman" w:eastAsia="仿宋" w:cs="Times New Roman"/>
                <w:b w:val="0"/>
                <w:bCs w:val="0"/>
                <w:color w:val="000000"/>
                <w:highlight w:val="none"/>
                <w:lang w:val="en-US" w:eastAsia="zh-CN"/>
              </w:rPr>
              <w:t>：</w:t>
            </w:r>
            <w:r>
              <w:rPr>
                <w:rFonts w:hint="eastAsia" w:ascii="Times New Roman" w:hAnsi="Times New Roman" w:eastAsia="仿宋" w:cs="Times New Roman"/>
                <w:b w:val="0"/>
                <w:bCs w:val="0"/>
                <w:color w:val="000000"/>
                <w:highlight w:val="none"/>
                <w:lang w:val="en-US" w:eastAsia="zh-CN"/>
              </w:rPr>
              <w:t>油淬</w:t>
            </w:r>
            <w:r>
              <w:rPr>
                <w:rFonts w:hint="default" w:ascii="Times New Roman" w:hAnsi="Times New Roman" w:eastAsia="仿宋" w:cs="Times New Roman"/>
                <w:b w:val="0"/>
                <w:bCs w:val="0"/>
                <w:color w:val="000000"/>
                <w:highlight w:val="none"/>
                <w:lang w:val="en-US" w:eastAsia="zh-CN"/>
              </w:rPr>
              <w:t>是金属热处理的一种。首先将金属件排在传输带上缓慢进入网带淬火炉，打开温控仪，启动已设定的工艺，采用电加热。当炉温达到800-900℃时，即可向密封的炉内滴入外购的渗</w:t>
            </w:r>
            <w:r>
              <w:rPr>
                <w:rFonts w:hint="eastAsia" w:ascii="Times New Roman" w:hAnsi="Times New Roman" w:eastAsia="仿宋" w:cs="Times New Roman"/>
                <w:b w:val="0"/>
                <w:bCs w:val="0"/>
                <w:color w:val="000000"/>
                <w:highlight w:val="none"/>
                <w:lang w:val="en-US" w:eastAsia="zh-CN"/>
              </w:rPr>
              <w:t>炭</w:t>
            </w:r>
            <w:r>
              <w:rPr>
                <w:rFonts w:hint="default" w:ascii="Times New Roman" w:hAnsi="Times New Roman" w:eastAsia="仿宋" w:cs="Times New Roman"/>
                <w:b w:val="0"/>
                <w:bCs w:val="0"/>
                <w:color w:val="000000"/>
                <w:highlight w:val="none"/>
                <w:lang w:val="en-US" w:eastAsia="zh-CN"/>
              </w:rPr>
              <w:t>剂甲醇进行空炉排气。其中99.9%的甲醇完全燃烧，点火和熄火的瞬间有少量甲醇（0.1%)在车间内排放，排放量较少。通过网带炉加热处理后的工件在传输带上直接进入油池（水池）冷却。高温工件进入油池冷却由于温度高会产生少量油雾，在车间呈无组织排放。此工段产生甲醇废气和热处理油雾</w:t>
            </w:r>
            <w:r>
              <w:rPr>
                <w:rFonts w:hint="eastAsia" w:ascii="Times New Roman" w:hAnsi="Times New Roman" w:eastAsia="仿宋" w:cs="Times New Roman"/>
                <w:b w:val="0"/>
                <w:bCs w:val="0"/>
                <w:color w:val="000000"/>
                <w:highlight w:val="none"/>
                <w:lang w:val="en-US" w:eastAsia="zh-CN"/>
              </w:rPr>
              <w:t>G1</w:t>
            </w:r>
            <w:r>
              <w:rPr>
                <w:rFonts w:hint="default" w:ascii="Times New Roman" w:hAnsi="Times New Roman" w:eastAsia="仿宋" w:cs="Times New Roman"/>
                <w:b w:val="0"/>
                <w:bCs w:val="0"/>
                <w:color w:val="000000"/>
                <w:highlight w:val="none"/>
                <w:lang w:val="en-US" w:eastAsia="zh-CN"/>
              </w:rPr>
              <w:t>以及废热处理油</w:t>
            </w:r>
            <w:r>
              <w:rPr>
                <w:rFonts w:hint="eastAsia" w:ascii="Times New Roman" w:hAnsi="Times New Roman" w:eastAsia="仿宋" w:cs="Times New Roman"/>
                <w:b w:val="0"/>
                <w:bCs w:val="0"/>
                <w:color w:val="000000"/>
                <w:highlight w:val="none"/>
                <w:lang w:val="en-US" w:eastAsia="zh-CN"/>
              </w:rPr>
              <w:t>S1</w:t>
            </w:r>
            <w:r>
              <w:rPr>
                <w:rFonts w:hint="default" w:ascii="Times New Roman" w:hAnsi="Times New Roman" w:eastAsia="仿宋" w:cs="Times New Roman"/>
                <w:b w:val="0"/>
                <w:bCs w:val="0"/>
                <w:color w:val="000000"/>
                <w:highlight w:val="none"/>
                <w:lang w:val="en-US" w:eastAsia="zh-CN"/>
              </w:rPr>
              <w:t>。甲醇废气和热处理油雾以非甲烷总烃计在车间无组织排放。</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eastAsia="仿宋" w:cs="Times New Roman"/>
                <w:b w:val="0"/>
                <w:bCs w:val="0"/>
                <w:color w:val="000000"/>
                <w:highlight w:val="none"/>
                <w:lang w:val="en-US" w:eastAsia="zh-CN"/>
              </w:rPr>
            </w:pPr>
            <w:r>
              <w:rPr>
                <w:rFonts w:hint="eastAsia" w:ascii="Times New Roman" w:hAnsi="Times New Roman" w:eastAsia="仿宋" w:cs="Times New Roman"/>
                <w:b w:val="0"/>
                <w:bCs w:val="0"/>
                <w:color w:val="000000"/>
                <w:highlight w:val="none"/>
                <w:lang w:val="en-US" w:eastAsia="zh-CN"/>
              </w:rPr>
              <w:t>盐淬：将熔融盐液作为加热介质、将工件浸入盐液（工业盐加水进行配制，由企业自行配制）内加热的工业炉。根据</w:t>
            </w:r>
            <w:r>
              <w:rPr>
                <w:rFonts w:hint="eastAsia" w:ascii="Times New Roman" w:hAnsi="Times New Roman" w:eastAsia="仿宋" w:cs="Times New Roman"/>
                <w:b w:val="0"/>
                <w:bCs w:val="0"/>
                <w:color w:val="000000"/>
                <w:highlight w:val="none"/>
                <w:lang w:val="en-US" w:eastAsia="zh-CN"/>
              </w:rPr>
              <w:fldChar w:fldCharType="begin"/>
            </w:r>
            <w:r>
              <w:rPr>
                <w:rFonts w:hint="eastAsia" w:ascii="Times New Roman" w:hAnsi="Times New Roman" w:eastAsia="仿宋" w:cs="Times New Roman"/>
                <w:b w:val="0"/>
                <w:bCs w:val="0"/>
                <w:color w:val="000000"/>
                <w:highlight w:val="none"/>
                <w:lang w:val="en-US" w:eastAsia="zh-CN"/>
              </w:rPr>
              <w:instrText xml:space="preserve"> HYPERLINK "https://baike.baidu.com/item/%E7%82%89%E5%AD%90/3913535" \t "https://baike.baidu.com/item/%E7%9B%90%E6%B5%B4%E7%82%89/_blank" </w:instrText>
            </w:r>
            <w:r>
              <w:rPr>
                <w:rFonts w:hint="eastAsia" w:ascii="Times New Roman" w:hAnsi="Times New Roman" w:eastAsia="仿宋" w:cs="Times New Roman"/>
                <w:b w:val="0"/>
                <w:bCs w:val="0"/>
                <w:color w:val="000000"/>
                <w:highlight w:val="none"/>
                <w:lang w:val="en-US" w:eastAsia="zh-CN"/>
              </w:rPr>
              <w:fldChar w:fldCharType="separate"/>
            </w:r>
            <w:r>
              <w:rPr>
                <w:rFonts w:hint="eastAsia" w:ascii="Times New Roman" w:hAnsi="Times New Roman" w:eastAsia="仿宋" w:cs="Times New Roman"/>
                <w:b w:val="0"/>
                <w:bCs w:val="0"/>
                <w:color w:val="000000"/>
                <w:highlight w:val="none"/>
                <w:lang w:val="en-US" w:eastAsia="zh-CN"/>
              </w:rPr>
              <w:t>炉子</w:t>
            </w:r>
            <w:r>
              <w:rPr>
                <w:rFonts w:hint="eastAsia" w:ascii="Times New Roman" w:hAnsi="Times New Roman" w:eastAsia="仿宋" w:cs="Times New Roman"/>
                <w:b w:val="0"/>
                <w:bCs w:val="0"/>
                <w:color w:val="000000"/>
                <w:highlight w:val="none"/>
                <w:lang w:val="en-US" w:eastAsia="zh-CN"/>
              </w:rPr>
              <w:fldChar w:fldCharType="end"/>
            </w:r>
            <w:r>
              <w:rPr>
                <w:rFonts w:hint="eastAsia" w:ascii="Times New Roman" w:hAnsi="Times New Roman" w:eastAsia="仿宋" w:cs="Times New Roman"/>
                <w:b w:val="0"/>
                <w:bCs w:val="0"/>
                <w:color w:val="000000"/>
                <w:highlight w:val="none"/>
                <w:lang w:val="en-US" w:eastAsia="zh-CN"/>
              </w:rPr>
              <w:t>的工作温度，通常选用</w:t>
            </w:r>
            <w:r>
              <w:rPr>
                <w:rFonts w:hint="eastAsia" w:ascii="Times New Roman" w:hAnsi="Times New Roman" w:eastAsia="仿宋" w:cs="Times New Roman"/>
                <w:b w:val="0"/>
                <w:bCs w:val="0"/>
                <w:color w:val="000000"/>
                <w:highlight w:val="none"/>
                <w:lang w:val="en-US" w:eastAsia="zh-CN"/>
              </w:rPr>
              <w:fldChar w:fldCharType="begin"/>
            </w:r>
            <w:r>
              <w:rPr>
                <w:rFonts w:hint="eastAsia" w:ascii="Times New Roman" w:hAnsi="Times New Roman" w:eastAsia="仿宋" w:cs="Times New Roman"/>
                <w:b w:val="0"/>
                <w:bCs w:val="0"/>
                <w:color w:val="000000"/>
                <w:highlight w:val="none"/>
                <w:lang w:val="en-US" w:eastAsia="zh-CN"/>
              </w:rPr>
              <w:instrText xml:space="preserve"> HYPERLINK "https://baike.baidu.com/item/%E6%B0%AF%E5%8C%96%E9%92%A0/114496" \t "https://baike.baidu.com/item/%E7%9B%90%E6%B5%B4%E7%82%89/_blank" </w:instrText>
            </w:r>
            <w:r>
              <w:rPr>
                <w:rFonts w:hint="eastAsia" w:ascii="Times New Roman" w:hAnsi="Times New Roman" w:eastAsia="仿宋" w:cs="Times New Roman"/>
                <w:b w:val="0"/>
                <w:bCs w:val="0"/>
                <w:color w:val="000000"/>
                <w:highlight w:val="none"/>
                <w:lang w:val="en-US" w:eastAsia="zh-CN"/>
              </w:rPr>
              <w:fldChar w:fldCharType="separate"/>
            </w:r>
            <w:r>
              <w:rPr>
                <w:rFonts w:hint="eastAsia" w:ascii="Times New Roman" w:hAnsi="Times New Roman" w:eastAsia="仿宋" w:cs="Times New Roman"/>
                <w:b w:val="0"/>
                <w:bCs w:val="0"/>
                <w:color w:val="000000"/>
                <w:highlight w:val="none"/>
                <w:lang w:val="en-US" w:eastAsia="zh-CN"/>
              </w:rPr>
              <w:t>氯化钠</w:t>
            </w:r>
            <w:r>
              <w:rPr>
                <w:rFonts w:hint="eastAsia" w:ascii="Times New Roman" w:hAnsi="Times New Roman" w:eastAsia="仿宋" w:cs="Times New Roman"/>
                <w:b w:val="0"/>
                <w:bCs w:val="0"/>
                <w:color w:val="000000"/>
                <w:highlight w:val="none"/>
                <w:lang w:val="en-US" w:eastAsia="zh-CN"/>
              </w:rPr>
              <w:fldChar w:fldCharType="end"/>
            </w:r>
            <w:r>
              <w:rPr>
                <w:rFonts w:hint="eastAsia" w:ascii="Times New Roman" w:hAnsi="Times New Roman" w:eastAsia="仿宋" w:cs="Times New Roman"/>
                <w:b w:val="0"/>
                <w:bCs w:val="0"/>
                <w:color w:val="000000"/>
                <w:highlight w:val="none"/>
                <w:lang w:val="en-US" w:eastAsia="zh-CN"/>
              </w:rPr>
              <w:t>、</w:t>
            </w:r>
            <w:r>
              <w:rPr>
                <w:rFonts w:hint="eastAsia" w:ascii="Times New Roman" w:hAnsi="Times New Roman" w:eastAsia="仿宋" w:cs="Times New Roman"/>
                <w:b w:val="0"/>
                <w:bCs w:val="0"/>
                <w:color w:val="000000"/>
                <w:highlight w:val="none"/>
                <w:lang w:val="en-US" w:eastAsia="zh-CN"/>
              </w:rPr>
              <w:fldChar w:fldCharType="begin"/>
            </w:r>
            <w:r>
              <w:rPr>
                <w:rFonts w:hint="eastAsia" w:ascii="Times New Roman" w:hAnsi="Times New Roman" w:eastAsia="仿宋" w:cs="Times New Roman"/>
                <w:b w:val="0"/>
                <w:bCs w:val="0"/>
                <w:color w:val="000000"/>
                <w:highlight w:val="none"/>
                <w:lang w:val="en-US" w:eastAsia="zh-CN"/>
              </w:rPr>
              <w:instrText xml:space="preserve"> HYPERLINK "https://baike.baidu.com/item/%E6%B0%AF%E5%8C%96%E9%92%BE/2696936" \t "https://baike.baidu.com/item/%E7%9B%90%E6%B5%B4%E7%82%89/_blank" </w:instrText>
            </w:r>
            <w:r>
              <w:rPr>
                <w:rFonts w:hint="eastAsia" w:ascii="Times New Roman" w:hAnsi="Times New Roman" w:eastAsia="仿宋" w:cs="Times New Roman"/>
                <w:b w:val="0"/>
                <w:bCs w:val="0"/>
                <w:color w:val="000000"/>
                <w:highlight w:val="none"/>
                <w:lang w:val="en-US" w:eastAsia="zh-CN"/>
              </w:rPr>
              <w:fldChar w:fldCharType="separate"/>
            </w:r>
            <w:r>
              <w:rPr>
                <w:rFonts w:hint="eastAsia" w:ascii="Times New Roman" w:hAnsi="Times New Roman" w:eastAsia="仿宋" w:cs="Times New Roman"/>
                <w:b w:val="0"/>
                <w:bCs w:val="0"/>
                <w:color w:val="000000"/>
                <w:highlight w:val="none"/>
                <w:lang w:val="en-US" w:eastAsia="zh-CN"/>
              </w:rPr>
              <w:t>氯化钾</w:t>
            </w:r>
            <w:r>
              <w:rPr>
                <w:rFonts w:hint="eastAsia" w:ascii="Times New Roman" w:hAnsi="Times New Roman" w:eastAsia="仿宋" w:cs="Times New Roman"/>
                <w:b w:val="0"/>
                <w:bCs w:val="0"/>
                <w:color w:val="000000"/>
                <w:highlight w:val="none"/>
                <w:lang w:val="en-US" w:eastAsia="zh-CN"/>
              </w:rPr>
              <w:fldChar w:fldCharType="end"/>
            </w:r>
            <w:r>
              <w:rPr>
                <w:rFonts w:hint="eastAsia" w:ascii="Times New Roman" w:hAnsi="Times New Roman" w:eastAsia="仿宋" w:cs="Times New Roman"/>
                <w:b w:val="0"/>
                <w:bCs w:val="0"/>
                <w:color w:val="000000"/>
                <w:highlight w:val="none"/>
                <w:lang w:val="en-US" w:eastAsia="zh-CN"/>
              </w:rPr>
              <w:t>、</w:t>
            </w:r>
            <w:r>
              <w:rPr>
                <w:rFonts w:hint="eastAsia" w:ascii="Times New Roman" w:hAnsi="Times New Roman" w:eastAsia="仿宋" w:cs="Times New Roman"/>
                <w:b w:val="0"/>
                <w:bCs w:val="0"/>
                <w:color w:val="000000"/>
                <w:highlight w:val="none"/>
                <w:lang w:val="en-US" w:eastAsia="zh-CN"/>
              </w:rPr>
              <w:fldChar w:fldCharType="begin"/>
            </w:r>
            <w:r>
              <w:rPr>
                <w:rFonts w:hint="eastAsia" w:ascii="Times New Roman" w:hAnsi="Times New Roman" w:eastAsia="仿宋" w:cs="Times New Roman"/>
                <w:b w:val="0"/>
                <w:bCs w:val="0"/>
                <w:color w:val="000000"/>
                <w:highlight w:val="none"/>
                <w:lang w:val="en-US" w:eastAsia="zh-CN"/>
              </w:rPr>
              <w:instrText xml:space="preserve"> HYPERLINK "https://baike.baidu.com/item/%E6%B0%AF%E5%8C%96%E9%92%A1/2696728" \t "https://baike.baidu.com/item/%E7%9B%90%E6%B5%B4%E7%82%89/_blank" </w:instrText>
            </w:r>
            <w:r>
              <w:rPr>
                <w:rFonts w:hint="eastAsia" w:ascii="Times New Roman" w:hAnsi="Times New Roman" w:eastAsia="仿宋" w:cs="Times New Roman"/>
                <w:b w:val="0"/>
                <w:bCs w:val="0"/>
                <w:color w:val="000000"/>
                <w:highlight w:val="none"/>
                <w:lang w:val="en-US" w:eastAsia="zh-CN"/>
              </w:rPr>
              <w:fldChar w:fldCharType="separate"/>
            </w:r>
            <w:r>
              <w:rPr>
                <w:rFonts w:hint="eastAsia" w:ascii="Times New Roman" w:hAnsi="Times New Roman" w:eastAsia="仿宋" w:cs="Times New Roman"/>
                <w:b w:val="0"/>
                <w:bCs w:val="0"/>
                <w:color w:val="000000"/>
                <w:highlight w:val="none"/>
                <w:lang w:val="en-US" w:eastAsia="zh-CN"/>
              </w:rPr>
              <w:t>氯化钡</w:t>
            </w:r>
            <w:r>
              <w:rPr>
                <w:rFonts w:hint="eastAsia" w:ascii="Times New Roman" w:hAnsi="Times New Roman" w:eastAsia="仿宋" w:cs="Times New Roman"/>
                <w:b w:val="0"/>
                <w:bCs w:val="0"/>
                <w:color w:val="000000"/>
                <w:highlight w:val="none"/>
                <w:lang w:val="en-US" w:eastAsia="zh-CN"/>
              </w:rPr>
              <w:fldChar w:fldCharType="end"/>
            </w:r>
            <w:r>
              <w:rPr>
                <w:rFonts w:hint="eastAsia" w:ascii="Times New Roman" w:hAnsi="Times New Roman" w:eastAsia="仿宋" w:cs="Times New Roman"/>
                <w:b w:val="0"/>
                <w:bCs w:val="0"/>
                <w:color w:val="000000"/>
                <w:highlight w:val="none"/>
                <w:lang w:val="en-US" w:eastAsia="zh-CN"/>
              </w:rPr>
              <w:t>、</w:t>
            </w:r>
            <w:r>
              <w:rPr>
                <w:rFonts w:hint="eastAsia" w:ascii="Times New Roman" w:hAnsi="Times New Roman" w:eastAsia="仿宋" w:cs="Times New Roman"/>
                <w:b w:val="0"/>
                <w:bCs w:val="0"/>
                <w:color w:val="000000"/>
                <w:highlight w:val="none"/>
                <w:lang w:val="en-US" w:eastAsia="zh-CN"/>
              </w:rPr>
              <w:fldChar w:fldCharType="begin"/>
            </w:r>
            <w:r>
              <w:rPr>
                <w:rFonts w:hint="eastAsia" w:ascii="Times New Roman" w:hAnsi="Times New Roman" w:eastAsia="仿宋" w:cs="Times New Roman"/>
                <w:b w:val="0"/>
                <w:bCs w:val="0"/>
                <w:color w:val="000000"/>
                <w:highlight w:val="none"/>
                <w:lang w:val="en-US" w:eastAsia="zh-CN"/>
              </w:rPr>
              <w:instrText xml:space="preserve"> HYPERLINK "https://baike.baidu.com/item/%E6%B0%B0%E5%8C%96%E9%92%A0/1604468" \t "https://baike.baidu.com/item/%E7%9B%90%E6%B5%B4%E7%82%89/_blank" </w:instrText>
            </w:r>
            <w:r>
              <w:rPr>
                <w:rFonts w:hint="eastAsia" w:ascii="Times New Roman" w:hAnsi="Times New Roman" w:eastAsia="仿宋" w:cs="Times New Roman"/>
                <w:b w:val="0"/>
                <w:bCs w:val="0"/>
                <w:color w:val="000000"/>
                <w:highlight w:val="none"/>
                <w:lang w:val="en-US" w:eastAsia="zh-CN"/>
              </w:rPr>
              <w:fldChar w:fldCharType="separate"/>
            </w:r>
            <w:r>
              <w:rPr>
                <w:rFonts w:hint="eastAsia" w:ascii="Times New Roman" w:hAnsi="Times New Roman" w:eastAsia="仿宋" w:cs="Times New Roman"/>
                <w:b w:val="0"/>
                <w:bCs w:val="0"/>
                <w:color w:val="000000"/>
                <w:highlight w:val="none"/>
                <w:lang w:val="en-US" w:eastAsia="zh-CN"/>
              </w:rPr>
              <w:t>氰化钠</w:t>
            </w:r>
            <w:r>
              <w:rPr>
                <w:rFonts w:hint="eastAsia" w:ascii="Times New Roman" w:hAnsi="Times New Roman" w:eastAsia="仿宋" w:cs="Times New Roman"/>
                <w:b w:val="0"/>
                <w:bCs w:val="0"/>
                <w:color w:val="000000"/>
                <w:highlight w:val="none"/>
                <w:lang w:val="en-US" w:eastAsia="zh-CN"/>
              </w:rPr>
              <w:fldChar w:fldCharType="end"/>
            </w:r>
            <w:r>
              <w:rPr>
                <w:rFonts w:hint="eastAsia" w:ascii="Times New Roman" w:hAnsi="Times New Roman" w:eastAsia="仿宋" w:cs="Times New Roman"/>
                <w:b w:val="0"/>
                <w:bCs w:val="0"/>
                <w:color w:val="000000"/>
                <w:highlight w:val="none"/>
                <w:lang w:val="en-US" w:eastAsia="zh-CN"/>
              </w:rPr>
              <w:t>、</w:t>
            </w:r>
            <w:r>
              <w:rPr>
                <w:rFonts w:hint="eastAsia" w:ascii="Times New Roman" w:hAnsi="Times New Roman" w:eastAsia="仿宋" w:cs="Times New Roman"/>
                <w:b w:val="0"/>
                <w:bCs w:val="0"/>
                <w:color w:val="000000"/>
                <w:highlight w:val="none"/>
                <w:lang w:val="en-US" w:eastAsia="zh-CN"/>
              </w:rPr>
              <w:fldChar w:fldCharType="begin"/>
            </w:r>
            <w:r>
              <w:rPr>
                <w:rFonts w:hint="eastAsia" w:ascii="Times New Roman" w:hAnsi="Times New Roman" w:eastAsia="仿宋" w:cs="Times New Roman"/>
                <w:b w:val="0"/>
                <w:bCs w:val="0"/>
                <w:color w:val="000000"/>
                <w:highlight w:val="none"/>
                <w:lang w:val="en-US" w:eastAsia="zh-CN"/>
              </w:rPr>
              <w:instrText xml:space="preserve"> HYPERLINK "https://baike.baidu.com/item/%E6%B0%B0%E5%8C%96%E9%92%BE/114478" \t "https://baike.baidu.com/item/%E7%9B%90%E6%B5%B4%E7%82%89/_blank" </w:instrText>
            </w:r>
            <w:r>
              <w:rPr>
                <w:rFonts w:hint="eastAsia" w:ascii="Times New Roman" w:hAnsi="Times New Roman" w:eastAsia="仿宋" w:cs="Times New Roman"/>
                <w:b w:val="0"/>
                <w:bCs w:val="0"/>
                <w:color w:val="000000"/>
                <w:highlight w:val="none"/>
                <w:lang w:val="en-US" w:eastAsia="zh-CN"/>
              </w:rPr>
              <w:fldChar w:fldCharType="separate"/>
            </w:r>
            <w:r>
              <w:rPr>
                <w:rFonts w:hint="eastAsia" w:ascii="Times New Roman" w:hAnsi="Times New Roman" w:eastAsia="仿宋" w:cs="Times New Roman"/>
                <w:b w:val="0"/>
                <w:bCs w:val="0"/>
                <w:color w:val="000000"/>
                <w:highlight w:val="none"/>
                <w:lang w:val="en-US" w:eastAsia="zh-CN"/>
              </w:rPr>
              <w:t>氰化钾</w:t>
            </w:r>
            <w:r>
              <w:rPr>
                <w:rFonts w:hint="eastAsia" w:ascii="Times New Roman" w:hAnsi="Times New Roman" w:eastAsia="仿宋" w:cs="Times New Roman"/>
                <w:b w:val="0"/>
                <w:bCs w:val="0"/>
                <w:color w:val="000000"/>
                <w:highlight w:val="none"/>
                <w:lang w:val="en-US" w:eastAsia="zh-CN"/>
              </w:rPr>
              <w:fldChar w:fldCharType="end"/>
            </w:r>
            <w:r>
              <w:rPr>
                <w:rFonts w:hint="eastAsia" w:ascii="Times New Roman" w:hAnsi="Times New Roman" w:eastAsia="仿宋" w:cs="Times New Roman"/>
                <w:b w:val="0"/>
                <w:bCs w:val="0"/>
                <w:color w:val="000000"/>
                <w:highlight w:val="none"/>
                <w:lang w:val="en-US" w:eastAsia="zh-CN"/>
              </w:rPr>
              <w:t>、</w:t>
            </w:r>
            <w:r>
              <w:rPr>
                <w:rFonts w:hint="eastAsia" w:ascii="Times New Roman" w:hAnsi="Times New Roman" w:eastAsia="仿宋" w:cs="Times New Roman"/>
                <w:b w:val="0"/>
                <w:bCs w:val="0"/>
                <w:color w:val="000000"/>
                <w:highlight w:val="none"/>
                <w:lang w:val="en-US" w:eastAsia="zh-CN"/>
              </w:rPr>
              <w:fldChar w:fldCharType="begin"/>
            </w:r>
            <w:r>
              <w:rPr>
                <w:rFonts w:hint="eastAsia" w:ascii="Times New Roman" w:hAnsi="Times New Roman" w:eastAsia="仿宋" w:cs="Times New Roman"/>
                <w:b w:val="0"/>
                <w:bCs w:val="0"/>
                <w:color w:val="000000"/>
                <w:highlight w:val="none"/>
                <w:lang w:val="en-US" w:eastAsia="zh-CN"/>
              </w:rPr>
              <w:instrText xml:space="preserve"> HYPERLINK "https://baike.baidu.com/item/%E7%A1%9D%E9%85%B8%E9%92%A0/2816091" \t "https://baike.baidu.com/item/%E7%9B%90%E6%B5%B4%E7%82%89/_blank" </w:instrText>
            </w:r>
            <w:r>
              <w:rPr>
                <w:rFonts w:hint="eastAsia" w:ascii="Times New Roman" w:hAnsi="Times New Roman" w:eastAsia="仿宋" w:cs="Times New Roman"/>
                <w:b w:val="0"/>
                <w:bCs w:val="0"/>
                <w:color w:val="000000"/>
                <w:highlight w:val="none"/>
                <w:lang w:val="en-US" w:eastAsia="zh-CN"/>
              </w:rPr>
              <w:fldChar w:fldCharType="separate"/>
            </w:r>
            <w:r>
              <w:rPr>
                <w:rFonts w:hint="eastAsia" w:ascii="Times New Roman" w:hAnsi="Times New Roman" w:eastAsia="仿宋" w:cs="Times New Roman"/>
                <w:b w:val="0"/>
                <w:bCs w:val="0"/>
                <w:color w:val="000000"/>
                <w:highlight w:val="none"/>
                <w:lang w:val="en-US" w:eastAsia="zh-CN"/>
              </w:rPr>
              <w:t>硝酸钠</w:t>
            </w:r>
            <w:r>
              <w:rPr>
                <w:rFonts w:hint="eastAsia" w:ascii="Times New Roman" w:hAnsi="Times New Roman" w:eastAsia="仿宋" w:cs="Times New Roman"/>
                <w:b w:val="0"/>
                <w:bCs w:val="0"/>
                <w:color w:val="000000"/>
                <w:highlight w:val="none"/>
                <w:lang w:val="en-US" w:eastAsia="zh-CN"/>
              </w:rPr>
              <w:fldChar w:fldCharType="end"/>
            </w:r>
            <w:r>
              <w:rPr>
                <w:rFonts w:hint="eastAsia" w:ascii="Times New Roman" w:hAnsi="Times New Roman" w:eastAsia="仿宋" w:cs="Times New Roman"/>
                <w:b w:val="0"/>
                <w:bCs w:val="0"/>
                <w:color w:val="000000"/>
                <w:highlight w:val="none"/>
                <w:lang w:val="en-US" w:eastAsia="zh-CN"/>
              </w:rPr>
              <w:t>、</w:t>
            </w:r>
            <w:r>
              <w:rPr>
                <w:rFonts w:hint="eastAsia" w:ascii="Times New Roman" w:hAnsi="Times New Roman" w:eastAsia="仿宋" w:cs="Times New Roman"/>
                <w:b w:val="0"/>
                <w:bCs w:val="0"/>
                <w:color w:val="000000"/>
                <w:highlight w:val="none"/>
                <w:lang w:val="en-US" w:eastAsia="zh-CN"/>
              </w:rPr>
              <w:fldChar w:fldCharType="begin"/>
            </w:r>
            <w:r>
              <w:rPr>
                <w:rFonts w:hint="eastAsia" w:ascii="Times New Roman" w:hAnsi="Times New Roman" w:eastAsia="仿宋" w:cs="Times New Roman"/>
                <w:b w:val="0"/>
                <w:bCs w:val="0"/>
                <w:color w:val="000000"/>
                <w:highlight w:val="none"/>
                <w:lang w:val="en-US" w:eastAsia="zh-CN"/>
              </w:rPr>
              <w:instrText xml:space="preserve"> HYPERLINK "https://baike.baidu.com/item/%E7%A1%9D%E9%85%B8%E9%92%BE/1634085" \t "https://baike.baidu.com/item/%E7%9B%90%E6%B5%B4%E7%82%89/_blank" </w:instrText>
            </w:r>
            <w:r>
              <w:rPr>
                <w:rFonts w:hint="eastAsia" w:ascii="Times New Roman" w:hAnsi="Times New Roman" w:eastAsia="仿宋" w:cs="Times New Roman"/>
                <w:b w:val="0"/>
                <w:bCs w:val="0"/>
                <w:color w:val="000000"/>
                <w:highlight w:val="none"/>
                <w:lang w:val="en-US" w:eastAsia="zh-CN"/>
              </w:rPr>
              <w:fldChar w:fldCharType="separate"/>
            </w:r>
            <w:r>
              <w:rPr>
                <w:rFonts w:hint="eastAsia" w:ascii="Times New Roman" w:hAnsi="Times New Roman" w:eastAsia="仿宋" w:cs="Times New Roman"/>
                <w:b w:val="0"/>
                <w:bCs w:val="0"/>
                <w:color w:val="000000"/>
                <w:highlight w:val="none"/>
                <w:lang w:val="en-US" w:eastAsia="zh-CN"/>
              </w:rPr>
              <w:t>硝酸钾</w:t>
            </w:r>
            <w:r>
              <w:rPr>
                <w:rFonts w:hint="eastAsia" w:ascii="Times New Roman" w:hAnsi="Times New Roman" w:eastAsia="仿宋" w:cs="Times New Roman"/>
                <w:b w:val="0"/>
                <w:bCs w:val="0"/>
                <w:color w:val="000000"/>
                <w:highlight w:val="none"/>
                <w:lang w:val="en-US" w:eastAsia="zh-CN"/>
              </w:rPr>
              <w:fldChar w:fldCharType="end"/>
            </w:r>
            <w:r>
              <w:rPr>
                <w:rFonts w:hint="eastAsia" w:ascii="Times New Roman" w:hAnsi="Times New Roman" w:eastAsia="仿宋" w:cs="Times New Roman"/>
                <w:b w:val="0"/>
                <w:bCs w:val="0"/>
                <w:color w:val="000000"/>
                <w:highlight w:val="none"/>
                <w:lang w:val="en-US" w:eastAsia="zh-CN"/>
              </w:rPr>
              <w:t>等</w:t>
            </w:r>
            <w:r>
              <w:rPr>
                <w:rFonts w:hint="eastAsia" w:ascii="Times New Roman" w:hAnsi="Times New Roman" w:eastAsia="仿宋" w:cs="Times New Roman"/>
                <w:b w:val="0"/>
                <w:bCs w:val="0"/>
                <w:color w:val="000000"/>
                <w:highlight w:val="none"/>
                <w:lang w:val="en-US" w:eastAsia="zh-CN"/>
              </w:rPr>
              <w:fldChar w:fldCharType="begin"/>
            </w:r>
            <w:r>
              <w:rPr>
                <w:rFonts w:hint="eastAsia" w:ascii="Times New Roman" w:hAnsi="Times New Roman" w:eastAsia="仿宋" w:cs="Times New Roman"/>
                <w:b w:val="0"/>
                <w:bCs w:val="0"/>
                <w:color w:val="000000"/>
                <w:highlight w:val="none"/>
                <w:lang w:val="en-US" w:eastAsia="zh-CN"/>
              </w:rPr>
              <w:instrText xml:space="preserve"> HYPERLINK "https://baike.baidu.com/item/%E7%9B%90%E7%B1%BB/4715297" \t "https://baike.baidu.com/item/%E7%9B%90%E6%B5%B4%E7%82%89/_blank" </w:instrText>
            </w:r>
            <w:r>
              <w:rPr>
                <w:rFonts w:hint="eastAsia" w:ascii="Times New Roman" w:hAnsi="Times New Roman" w:eastAsia="仿宋" w:cs="Times New Roman"/>
                <w:b w:val="0"/>
                <w:bCs w:val="0"/>
                <w:color w:val="000000"/>
                <w:highlight w:val="none"/>
                <w:lang w:val="en-US" w:eastAsia="zh-CN"/>
              </w:rPr>
              <w:fldChar w:fldCharType="separate"/>
            </w:r>
            <w:r>
              <w:rPr>
                <w:rFonts w:hint="eastAsia" w:ascii="Times New Roman" w:hAnsi="Times New Roman" w:eastAsia="仿宋" w:cs="Times New Roman"/>
                <w:b w:val="0"/>
                <w:bCs w:val="0"/>
                <w:color w:val="000000"/>
                <w:highlight w:val="none"/>
                <w:lang w:val="en-US" w:eastAsia="zh-CN"/>
              </w:rPr>
              <w:t>盐类</w:t>
            </w:r>
            <w:r>
              <w:rPr>
                <w:rFonts w:hint="eastAsia" w:ascii="Times New Roman" w:hAnsi="Times New Roman" w:eastAsia="仿宋" w:cs="Times New Roman"/>
                <w:b w:val="0"/>
                <w:bCs w:val="0"/>
                <w:color w:val="000000"/>
                <w:highlight w:val="none"/>
                <w:lang w:val="en-US" w:eastAsia="zh-CN"/>
              </w:rPr>
              <w:fldChar w:fldCharType="end"/>
            </w:r>
            <w:r>
              <w:rPr>
                <w:rFonts w:hint="eastAsia" w:ascii="Times New Roman" w:hAnsi="Times New Roman" w:eastAsia="仿宋" w:cs="Times New Roman"/>
                <w:b w:val="0"/>
                <w:bCs w:val="0"/>
                <w:color w:val="000000"/>
                <w:highlight w:val="none"/>
                <w:lang w:val="en-US" w:eastAsia="zh-CN"/>
              </w:rPr>
              <w:t>作为加热介质。</w:t>
            </w:r>
            <w:r>
              <w:rPr>
                <w:rFonts w:hint="eastAsia" w:ascii="Times New Roman" w:hAnsi="Times New Roman" w:eastAsia="仿宋" w:cs="Times New Roman"/>
                <w:b w:val="0"/>
                <w:bCs w:val="0"/>
                <w:color w:val="000000"/>
                <w:highlight w:val="none"/>
                <w:lang w:val="en-US" w:eastAsia="zh-CN"/>
              </w:rPr>
              <w:fldChar w:fldCharType="begin"/>
            </w:r>
            <w:r>
              <w:rPr>
                <w:rFonts w:hint="eastAsia" w:ascii="Times New Roman" w:hAnsi="Times New Roman" w:eastAsia="仿宋" w:cs="Times New Roman"/>
                <w:b w:val="0"/>
                <w:bCs w:val="0"/>
                <w:color w:val="000000"/>
                <w:highlight w:val="none"/>
                <w:lang w:val="en-US" w:eastAsia="zh-CN"/>
              </w:rPr>
              <w:instrText xml:space="preserve"> HYPERLINK "https://baike.baidu.com/item/%E7%9B%90%E6%B5%B4" \t "https://baike.baidu.com/item/%E7%9B%90%E6%B5%B4%E7%82%89/_blank" </w:instrText>
            </w:r>
            <w:r>
              <w:rPr>
                <w:rFonts w:hint="eastAsia" w:ascii="Times New Roman" w:hAnsi="Times New Roman" w:eastAsia="仿宋" w:cs="Times New Roman"/>
                <w:b w:val="0"/>
                <w:bCs w:val="0"/>
                <w:color w:val="000000"/>
                <w:highlight w:val="none"/>
                <w:lang w:val="en-US" w:eastAsia="zh-CN"/>
              </w:rPr>
              <w:fldChar w:fldCharType="separate"/>
            </w:r>
            <w:r>
              <w:rPr>
                <w:rFonts w:hint="eastAsia" w:ascii="Times New Roman" w:hAnsi="Times New Roman" w:eastAsia="仿宋" w:cs="Times New Roman"/>
                <w:b w:val="0"/>
                <w:bCs w:val="0"/>
                <w:color w:val="000000"/>
                <w:highlight w:val="none"/>
                <w:lang w:val="en-US" w:eastAsia="zh-CN"/>
              </w:rPr>
              <w:t>盐浴</w:t>
            </w:r>
            <w:r>
              <w:rPr>
                <w:rFonts w:hint="eastAsia" w:ascii="Times New Roman" w:hAnsi="Times New Roman" w:eastAsia="仿宋" w:cs="Times New Roman"/>
                <w:b w:val="0"/>
                <w:bCs w:val="0"/>
                <w:color w:val="000000"/>
                <w:highlight w:val="none"/>
                <w:lang w:val="en-US" w:eastAsia="zh-CN"/>
              </w:rPr>
              <w:fldChar w:fldCharType="end"/>
            </w:r>
            <w:r>
              <w:rPr>
                <w:rFonts w:hint="eastAsia" w:ascii="Times New Roman" w:hAnsi="Times New Roman" w:eastAsia="仿宋" w:cs="Times New Roman"/>
                <w:b w:val="0"/>
                <w:bCs w:val="0"/>
                <w:color w:val="000000"/>
                <w:highlight w:val="none"/>
                <w:lang w:val="en-US" w:eastAsia="zh-CN"/>
              </w:rPr>
              <w:t>炉的加热速度快，温度均匀。此过程会产生S2废盐。</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仿宋" w:cs="Times New Roman"/>
                <w:b w:val="0"/>
                <w:bCs w:val="0"/>
                <w:color w:val="000000"/>
                <w:highlight w:val="none"/>
                <w:lang w:val="en-US" w:eastAsia="zh-CN"/>
              </w:rPr>
            </w:pPr>
            <w:r>
              <w:rPr>
                <w:rFonts w:hint="eastAsia" w:ascii="Times New Roman" w:hAnsi="Times New Roman" w:eastAsia="仿宋" w:cs="Times New Roman"/>
                <w:b w:val="0"/>
                <w:bCs w:val="0"/>
                <w:color w:val="000000"/>
                <w:highlight w:val="none"/>
                <w:lang w:val="en-US" w:eastAsia="zh-CN"/>
              </w:rPr>
              <w:t>氮化：金属氮化处理是在一定温度下一定介质中使氮原子渗入工件表层的化学热处理工艺。经氮化处理的制品具有优异的耐磨性、耐疲劳性、耐蚀性及耐高温的特性。将氨气通入氮化炉，高温缺氧的情况下氨气分解成氮气和氢气，氢气直接排出，氮深入待处理的金属。此过程会有极少量未分解氨气挥发G2。</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仿宋" w:cs="Times New Roman"/>
                <w:b w:val="0"/>
                <w:bCs w:val="0"/>
                <w:color w:val="000000"/>
                <w:highlight w:val="none"/>
                <w:lang w:val="en-US" w:eastAsia="zh-CN"/>
              </w:rPr>
            </w:pPr>
            <w:r>
              <w:rPr>
                <w:rFonts w:hint="eastAsia" w:ascii="Times New Roman" w:hAnsi="Times New Roman" w:eastAsia="仿宋" w:cs="Times New Roman"/>
                <w:b w:val="0"/>
                <w:bCs w:val="0"/>
                <w:color w:val="000000"/>
                <w:highlight w:val="none"/>
                <w:lang w:val="en-US" w:eastAsia="zh-CN"/>
              </w:rPr>
              <w:t>3、</w:t>
            </w:r>
            <w:r>
              <w:rPr>
                <w:rFonts w:hint="default" w:ascii="Times New Roman" w:hAnsi="Times New Roman" w:eastAsia="仿宋" w:cs="Times New Roman"/>
                <w:b w:val="0"/>
                <w:bCs w:val="0"/>
                <w:color w:val="000000"/>
                <w:highlight w:val="none"/>
                <w:lang w:val="en-US" w:eastAsia="zh-CN"/>
              </w:rPr>
              <w:t>回火：淬火之后通常需要回火，可以使工件得到高的表面硬度、高的耐磨性和疲劳强度，并保持内部有低</w:t>
            </w:r>
            <w:r>
              <w:rPr>
                <w:rFonts w:hint="eastAsia" w:ascii="Times New Roman" w:hAnsi="Times New Roman" w:eastAsia="仿宋" w:cs="Times New Roman"/>
                <w:b w:val="0"/>
                <w:bCs w:val="0"/>
                <w:color w:val="000000"/>
                <w:highlight w:val="none"/>
                <w:lang w:val="en-US" w:eastAsia="zh-CN"/>
              </w:rPr>
              <w:t>炭</w:t>
            </w:r>
            <w:r>
              <w:rPr>
                <w:rFonts w:hint="default" w:ascii="Times New Roman" w:hAnsi="Times New Roman" w:eastAsia="仿宋" w:cs="Times New Roman"/>
                <w:b w:val="0"/>
                <w:bCs w:val="0"/>
                <w:color w:val="000000"/>
                <w:highlight w:val="none"/>
                <w:lang w:val="en-US" w:eastAsia="zh-CN"/>
              </w:rPr>
              <w:t>钢淬火后的强韧性，使工件能承受冲击载荷。从油池出来的工件在回火炉内进行回火处理。工件在密闭的回火炉内用电加热到200-600℃,然后保温一定的时间出炉再自然冷却到室温。此工段有噪声产生。</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仿宋" w:cs="Times New Roman"/>
                <w:b w:val="0"/>
                <w:bCs w:val="0"/>
                <w:color w:val="000000"/>
                <w:highlight w:val="none"/>
                <w:lang w:val="en-US" w:eastAsia="zh-CN"/>
              </w:rPr>
            </w:pPr>
            <w:r>
              <w:rPr>
                <w:rFonts w:hint="eastAsia" w:ascii="Times New Roman" w:hAnsi="Times New Roman" w:eastAsia="仿宋" w:cs="Times New Roman"/>
                <w:b w:val="0"/>
                <w:bCs w:val="0"/>
                <w:color w:val="000000"/>
                <w:highlight w:val="none"/>
                <w:lang w:val="en-US" w:eastAsia="zh-CN"/>
              </w:rPr>
              <w:t>4、</w:t>
            </w:r>
            <w:r>
              <w:rPr>
                <w:rFonts w:hint="default" w:ascii="Times New Roman" w:hAnsi="Times New Roman" w:eastAsia="仿宋" w:cs="Times New Roman"/>
                <w:b w:val="0"/>
                <w:bCs w:val="0"/>
                <w:color w:val="000000"/>
                <w:highlight w:val="none"/>
                <w:lang w:val="en-US" w:eastAsia="zh-CN"/>
              </w:rPr>
              <w:t>检验：完成热处理加工后的金属件经检验合格即为成品。不合格品返回头道工序重新加工。</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仿宋" w:cs="Times New Roman"/>
                <w:b w:val="0"/>
                <w:bCs w:val="0"/>
                <w:color w:val="000000"/>
                <w:highlight w:val="none"/>
                <w:lang w:val="en-US" w:eastAsia="zh-CN"/>
              </w:rPr>
            </w:pPr>
            <w:r>
              <w:rPr>
                <w:rFonts w:hint="default" w:ascii="Times New Roman" w:hAnsi="Times New Roman" w:eastAsia="仿宋" w:cs="Times New Roman"/>
                <w:b w:val="0"/>
                <w:bCs w:val="0"/>
                <w:color w:val="000000"/>
                <w:highlight w:val="none"/>
                <w:lang w:val="en-US" w:eastAsia="zh-CN"/>
              </w:rPr>
              <w:t>②机械配件加工</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center"/>
              <w:textAlignment w:val="auto"/>
              <w:rPr>
                <w:rFonts w:hint="default" w:ascii="Times New Roman" w:hAnsi="Times New Roman" w:cs="Times New Roman"/>
                <w:b w:val="0"/>
                <w:bCs w:val="0"/>
                <w:color w:val="000000"/>
                <w:highlight w:val="none"/>
                <w:lang w:val="en-US" w:eastAsia="zh-CN"/>
              </w:rPr>
            </w:pPr>
            <w:r>
              <w:rPr>
                <w:rFonts w:hint="default" w:ascii="Times New Roman" w:hAnsi="Times New Roman" w:cs="Times New Roman"/>
                <w:b w:val="0"/>
                <w:bCs w:val="0"/>
                <w:color w:val="000000"/>
                <w:highlight w:val="none"/>
                <w:lang w:val="en-US" w:eastAsia="zh-CN"/>
              </w:rPr>
              <w:object>
                <v:shape id="_x0000_i1028" o:spt="75" type="#_x0000_t75" style="height:196.3pt;width:134.25pt;" o:ole="t" filled="f" o:preferrelative="t" stroked="f" coordsize="21600,21600">
                  <v:path/>
                  <v:fill on="f" focussize="0,0"/>
                  <v:stroke on="f"/>
                  <v:imagedata r:id="rId14" o:title=""/>
                  <o:lock v:ext="edit" aspectratio="f"/>
                  <w10:wrap type="none"/>
                  <w10:anchorlock/>
                </v:shape>
                <o:OLEObject Type="Embed" ProgID="Visio.Drawing.11" ShapeID="_x0000_i1028" DrawAspect="Content" ObjectID="_1468075728" r:id="rId13">
                  <o:LockedField>false</o:LockedField>
                </o:OLEObject>
              </w:objec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center"/>
              <w:textAlignment w:val="auto"/>
              <w:rPr>
                <w:rFonts w:hint="default" w:ascii="Times New Roman" w:hAnsi="Times New Roman" w:eastAsia="仿宋" w:cs="Times New Roman"/>
                <w:b/>
                <w:bCs/>
                <w:color w:val="000000"/>
                <w:highlight w:val="none"/>
                <w:lang w:val="en-US" w:eastAsia="zh-CN"/>
              </w:rPr>
            </w:pPr>
            <w:r>
              <w:rPr>
                <w:rFonts w:hint="default" w:ascii="Times New Roman" w:hAnsi="Times New Roman" w:eastAsia="仿宋" w:cs="Times New Roman"/>
                <w:b/>
                <w:bCs/>
                <w:color w:val="000000"/>
                <w:highlight w:val="none"/>
                <w:lang w:val="en-US" w:eastAsia="zh-CN"/>
              </w:rPr>
              <w:t>图2-</w:t>
            </w:r>
            <w:r>
              <w:rPr>
                <w:rFonts w:hint="eastAsia" w:ascii="Times New Roman" w:hAnsi="Times New Roman" w:eastAsia="仿宋" w:cs="Times New Roman"/>
                <w:b/>
                <w:bCs/>
                <w:color w:val="000000"/>
                <w:highlight w:val="none"/>
                <w:lang w:val="en-US" w:eastAsia="zh-CN"/>
              </w:rPr>
              <w:t>4</w:t>
            </w:r>
            <w:r>
              <w:rPr>
                <w:rFonts w:hint="default" w:ascii="Times New Roman" w:hAnsi="Times New Roman" w:eastAsia="仿宋" w:cs="Times New Roman"/>
                <w:b/>
                <w:bCs/>
                <w:color w:val="000000"/>
                <w:highlight w:val="none"/>
                <w:lang w:val="en-US" w:eastAsia="zh-CN"/>
              </w:rPr>
              <w:t xml:space="preserve"> 机械配件工艺流称图</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仿宋" w:cs="Times New Roman"/>
                <w:b w:val="0"/>
                <w:bCs w:val="0"/>
                <w:color w:val="000000"/>
                <w:sz w:val="24"/>
                <w:szCs w:val="24"/>
                <w:highlight w:val="none"/>
                <w:lang w:val="en-US" w:eastAsia="zh-CN"/>
              </w:rPr>
            </w:pPr>
            <w:r>
              <w:rPr>
                <w:rFonts w:hint="default" w:ascii="Times New Roman" w:hAnsi="Times New Roman" w:eastAsia="仿宋" w:cs="Times New Roman"/>
                <w:b w:val="0"/>
                <w:bCs w:val="0"/>
                <w:color w:val="000000"/>
                <w:sz w:val="24"/>
                <w:szCs w:val="24"/>
                <w:highlight w:val="none"/>
                <w:lang w:val="en-US" w:eastAsia="zh-CN"/>
              </w:rPr>
              <w:t>切断：外购原料依据所需配件规格在断料机上断料。此工序会产生S1边角料。</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仿宋" w:cs="Times New Roman"/>
                <w:b w:val="0"/>
                <w:bCs w:val="0"/>
                <w:color w:val="000000"/>
                <w:sz w:val="24"/>
                <w:szCs w:val="24"/>
                <w:highlight w:val="none"/>
                <w:lang w:val="en-US" w:eastAsia="zh-CN"/>
              </w:rPr>
            </w:pPr>
            <w:r>
              <w:rPr>
                <w:rFonts w:hint="default" w:ascii="Times New Roman" w:hAnsi="Times New Roman" w:eastAsia="仿宋" w:cs="Times New Roman"/>
                <w:b w:val="0"/>
                <w:bCs w:val="0"/>
                <w:color w:val="000000"/>
                <w:sz w:val="24"/>
                <w:szCs w:val="24"/>
                <w:highlight w:val="none"/>
                <w:lang w:val="en-US" w:eastAsia="zh-CN"/>
              </w:rPr>
              <w:t>冲压：断料完成的原料在冲压机上进行冲压。</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仿宋" w:cs="Times New Roman"/>
                <w:b w:val="0"/>
                <w:bCs w:val="0"/>
                <w:color w:val="000000"/>
                <w:sz w:val="24"/>
                <w:szCs w:val="24"/>
                <w:highlight w:val="none"/>
                <w:lang w:val="en-US" w:eastAsia="zh-CN"/>
              </w:rPr>
            </w:pPr>
            <w:r>
              <w:rPr>
                <w:rFonts w:hint="default" w:ascii="Times New Roman" w:hAnsi="Times New Roman" w:eastAsia="仿宋" w:cs="Times New Roman"/>
                <w:b w:val="0"/>
                <w:bCs w:val="0"/>
                <w:color w:val="000000"/>
                <w:sz w:val="24"/>
                <w:szCs w:val="24"/>
                <w:highlight w:val="none"/>
                <w:lang w:val="en-US" w:eastAsia="zh-CN"/>
              </w:rPr>
              <w:t>机加工：冲压完成的配件经车床、钻床等设备进行车、钻等一系列机加工处理。此工序会有S2边角料产生。</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b w:val="0"/>
                <w:bCs w:val="0"/>
                <w:color w:val="000000"/>
                <w:sz w:val="24"/>
                <w:szCs w:val="24"/>
                <w:highlight w:val="none"/>
                <w:lang w:val="en-US" w:eastAsia="zh-CN"/>
              </w:rPr>
              <w:t>检验：原料加工完成后的配件经试压机进行检验合格后的成品打包，不合格品S3综合外售处理。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（1）废气</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eastAsia" w:eastAsia="仿宋" w:cs="Times New Roman"/>
                <w:b/>
                <w:bCs/>
                <w:kern w:val="0"/>
                <w:sz w:val="24"/>
                <w:szCs w:val="24"/>
                <w:lang w:val="en-US" w:eastAsia="zh-CN"/>
              </w:rPr>
            </w:pP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eastAsia" w:eastAsia="仿宋" w:cs="Times New Roman"/>
                <w:b/>
                <w:bCs/>
                <w:kern w:val="0"/>
                <w:sz w:val="24"/>
                <w:szCs w:val="24"/>
                <w:lang w:val="en-US" w:eastAsia="zh-CN"/>
              </w:rPr>
            </w:pPr>
            <w:r>
              <w:rPr>
                <w:rFonts w:hint="eastAsia" w:eastAsia="仿宋" w:cs="Times New Roman"/>
                <w:b/>
                <w:bCs/>
                <w:kern w:val="0"/>
                <w:sz w:val="24"/>
                <w:szCs w:val="24"/>
                <w:lang w:val="en-US" w:eastAsia="zh-CN"/>
              </w:rPr>
              <w:t>表2-9 原有项目废气污染防治措施及污染物排放</w:t>
            </w:r>
          </w:p>
          <w:tbl>
            <w:tblPr>
              <w:tblStyle w:val="18"/>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2771"/>
              <w:gridCol w:w="2655"/>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污染物</w:t>
                  </w:r>
                </w:p>
              </w:tc>
              <w:tc>
                <w:tcPr>
                  <w:tcW w:w="2771"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环评情况</w:t>
                  </w:r>
                </w:p>
              </w:tc>
              <w:tc>
                <w:tcPr>
                  <w:tcW w:w="2655"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验收情况</w:t>
                  </w:r>
                </w:p>
              </w:tc>
              <w:tc>
                <w:tcPr>
                  <w:tcW w:w="2249"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废气</w:t>
                  </w:r>
                </w:p>
              </w:tc>
              <w:tc>
                <w:tcPr>
                  <w:tcW w:w="2771"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网带炉点火与熄火瞬间会有少量甲醇于车间</w:t>
                  </w:r>
                  <w:r>
                    <w:rPr>
                      <w:rFonts w:hint="eastAsia" w:ascii="Times New Roman" w:hAnsi="Times New Roman" w:eastAsia="仿宋" w:cs="Times New Roman"/>
                      <w:sz w:val="21"/>
                      <w:szCs w:val="21"/>
                      <w:lang w:val="en-US" w:eastAsia="zh-CN"/>
                    </w:rPr>
                    <w:t>内</w:t>
                  </w:r>
                  <w:r>
                    <w:rPr>
                      <w:rFonts w:hint="default" w:ascii="Times New Roman" w:hAnsi="Times New Roman" w:eastAsia="仿宋" w:cs="Times New Roman"/>
                      <w:sz w:val="21"/>
                      <w:szCs w:val="21"/>
                      <w:lang w:val="en-US" w:eastAsia="zh-CN"/>
                    </w:rPr>
                    <w:t>无组织排放；</w:t>
                  </w:r>
                  <w:r>
                    <w:rPr>
                      <w:rFonts w:hint="eastAsia" w:ascii="Times New Roman" w:hAnsi="Times New Roman" w:eastAsia="仿宋" w:cs="Times New Roman"/>
                      <w:sz w:val="21"/>
                      <w:szCs w:val="21"/>
                      <w:lang w:val="en-US" w:eastAsia="zh-CN"/>
                    </w:rPr>
                    <w:t>氮化炉使用过程中会有极少量氨气挥发，与车间内无组织排放；</w:t>
                  </w:r>
                  <w:r>
                    <w:rPr>
                      <w:rFonts w:hint="default" w:ascii="Times New Roman" w:hAnsi="Times New Roman" w:eastAsia="仿宋" w:cs="Times New Roman"/>
                      <w:sz w:val="21"/>
                      <w:szCs w:val="21"/>
                      <w:lang w:val="en-US" w:eastAsia="zh-CN"/>
                    </w:rPr>
                    <w:t>淬火过程中冷却时，高温工件进入油池时会有部分</w:t>
                  </w:r>
                  <w:r>
                    <w:rPr>
                      <w:rFonts w:hint="eastAsia" w:ascii="Times New Roman" w:hAnsi="Times New Roman" w:eastAsia="仿宋" w:cs="Times New Roman"/>
                      <w:sz w:val="21"/>
                      <w:szCs w:val="21"/>
                      <w:lang w:val="en-US" w:eastAsia="zh-CN"/>
                    </w:rPr>
                    <w:t>淬火油挥发</w:t>
                  </w:r>
                  <w:r>
                    <w:rPr>
                      <w:rFonts w:hint="default" w:ascii="Times New Roman" w:hAnsi="Times New Roman" w:eastAsia="仿宋" w:cs="Times New Roman"/>
                      <w:sz w:val="21"/>
                      <w:szCs w:val="21"/>
                      <w:lang w:val="en-US" w:eastAsia="zh-CN"/>
                    </w:rPr>
                    <w:t>，在车间内无组织排放，加强车间通风。</w:t>
                  </w:r>
                </w:p>
              </w:tc>
              <w:tc>
                <w:tcPr>
                  <w:tcW w:w="2655"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网带炉点火与熄火瞬间会有少量甲醇于车间</w:t>
                  </w:r>
                  <w:r>
                    <w:rPr>
                      <w:rFonts w:hint="eastAsia" w:ascii="Times New Roman" w:hAnsi="Times New Roman" w:eastAsia="仿宋" w:cs="Times New Roman"/>
                      <w:sz w:val="21"/>
                      <w:szCs w:val="21"/>
                      <w:lang w:val="en-US" w:eastAsia="zh-CN"/>
                    </w:rPr>
                    <w:t>内</w:t>
                  </w:r>
                  <w:r>
                    <w:rPr>
                      <w:rFonts w:hint="default" w:ascii="Times New Roman" w:hAnsi="Times New Roman" w:eastAsia="仿宋" w:cs="Times New Roman"/>
                      <w:sz w:val="21"/>
                      <w:szCs w:val="21"/>
                      <w:lang w:val="en-US" w:eastAsia="zh-CN"/>
                    </w:rPr>
                    <w:t>无组织排放；</w:t>
                  </w:r>
                  <w:r>
                    <w:rPr>
                      <w:rFonts w:hint="eastAsia" w:ascii="Times New Roman" w:hAnsi="Times New Roman" w:eastAsia="仿宋" w:cs="Times New Roman"/>
                      <w:sz w:val="21"/>
                      <w:szCs w:val="21"/>
                      <w:lang w:val="en-US" w:eastAsia="zh-CN"/>
                    </w:rPr>
                    <w:t>氮化炉使用过程中会有极少量氨气挥发，与车间内无组织排放；</w:t>
                  </w:r>
                  <w:r>
                    <w:rPr>
                      <w:rFonts w:hint="default" w:ascii="Times New Roman" w:hAnsi="Times New Roman" w:eastAsia="仿宋" w:cs="Times New Roman"/>
                      <w:sz w:val="21"/>
                      <w:szCs w:val="21"/>
                      <w:lang w:val="en-US" w:eastAsia="zh-CN"/>
                    </w:rPr>
                    <w:t>淬火过程中冷却时，高温工件进入油池时会有部分</w:t>
                  </w:r>
                  <w:r>
                    <w:rPr>
                      <w:rFonts w:hint="eastAsia" w:ascii="Times New Roman" w:hAnsi="Times New Roman" w:eastAsia="仿宋" w:cs="Times New Roman"/>
                      <w:sz w:val="21"/>
                      <w:szCs w:val="21"/>
                      <w:lang w:val="en-US" w:eastAsia="zh-CN"/>
                    </w:rPr>
                    <w:t>淬火油挥发</w:t>
                  </w:r>
                  <w:r>
                    <w:rPr>
                      <w:rFonts w:hint="default" w:ascii="Times New Roman" w:hAnsi="Times New Roman" w:eastAsia="仿宋" w:cs="Times New Roman"/>
                      <w:sz w:val="21"/>
                      <w:szCs w:val="21"/>
                      <w:lang w:val="en-US" w:eastAsia="zh-CN"/>
                    </w:rPr>
                    <w:t>，在车间内无组织排放，加强车间通风。</w:t>
                  </w:r>
                </w:p>
              </w:tc>
              <w:tc>
                <w:tcPr>
                  <w:tcW w:w="2249"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企业原厂区设备目前已全部拆除。</w:t>
                  </w: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仿宋" w:cs="Times New Roman"/>
                <w:b/>
                <w:bCs/>
                <w:szCs w:val="24"/>
                <w:lang w:val="en-US" w:eastAsia="zh-CN"/>
              </w:rPr>
            </w:pPr>
            <w:r>
              <w:rPr>
                <w:rFonts w:hint="eastAsia" w:ascii="Times New Roman" w:hAnsi="Times New Roman" w:eastAsia="仿宋" w:cs="Times New Roman"/>
                <w:b w:val="0"/>
                <w:bCs w:val="0"/>
                <w:szCs w:val="24"/>
                <w:lang w:val="en-US" w:eastAsia="zh-CN"/>
              </w:rPr>
              <w:t>原有项目废气均为无组织排放，未采取收集处理措施。</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废水</w:t>
            </w:r>
          </w:p>
          <w:p>
            <w:pPr>
              <w:pStyle w:val="2"/>
              <w:jc w:val="center"/>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表2-1</w:t>
            </w:r>
            <w:r>
              <w:rPr>
                <w:rFonts w:hint="eastAsia" w:ascii="Times New Roman" w:hAnsi="Times New Roman" w:eastAsia="仿宋" w:cs="Times New Roman"/>
                <w:b/>
                <w:bCs/>
                <w:lang w:val="en-US" w:eastAsia="zh-CN"/>
              </w:rPr>
              <w:t>0</w:t>
            </w:r>
            <w:r>
              <w:rPr>
                <w:rFonts w:hint="default" w:ascii="Times New Roman" w:hAnsi="Times New Roman" w:eastAsia="仿宋" w:cs="Times New Roman"/>
                <w:b/>
                <w:bCs/>
                <w:lang w:val="en-US" w:eastAsia="zh-CN"/>
              </w:rPr>
              <w:t xml:space="preserve"> </w:t>
            </w:r>
            <w:r>
              <w:rPr>
                <w:rFonts w:hint="default" w:ascii="Times New Roman" w:hAnsi="Times New Roman" w:eastAsia="仿宋" w:cs="Times New Roman"/>
                <w:b/>
                <w:bCs/>
                <w:kern w:val="0"/>
                <w:sz w:val="24"/>
                <w:szCs w:val="24"/>
                <w:lang w:val="en-US" w:eastAsia="zh-CN"/>
              </w:rPr>
              <w:t>原有项目废水污染防治措施及污染物排放</w:t>
            </w:r>
          </w:p>
          <w:tbl>
            <w:tblPr>
              <w:tblStyle w:val="18"/>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2771"/>
              <w:gridCol w:w="2655"/>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污染物</w:t>
                  </w:r>
                </w:p>
              </w:tc>
              <w:tc>
                <w:tcPr>
                  <w:tcW w:w="2771"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环评情况</w:t>
                  </w:r>
                </w:p>
              </w:tc>
              <w:tc>
                <w:tcPr>
                  <w:tcW w:w="2655"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验收情况</w:t>
                  </w:r>
                </w:p>
              </w:tc>
              <w:tc>
                <w:tcPr>
                  <w:tcW w:w="2249"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1"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废水</w:t>
                  </w:r>
                </w:p>
              </w:tc>
              <w:tc>
                <w:tcPr>
                  <w:tcW w:w="2771"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原有项目生活污水经三格式化粪池处理后农用，无生产废水。</w:t>
                  </w:r>
                </w:p>
              </w:tc>
              <w:tc>
                <w:tcPr>
                  <w:tcW w:w="2655"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原有项目生活污水经三格式化粪池处理后堆肥，无生产废水。</w:t>
                  </w:r>
                </w:p>
              </w:tc>
              <w:tc>
                <w:tcPr>
                  <w:tcW w:w="2249"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原有项目生活污水经三格式化粪池处理后堆肥，无生产废水。</w:t>
                  </w:r>
                </w:p>
              </w:tc>
            </w:tr>
          </w:tbl>
          <w:p>
            <w:pPr>
              <w:keepNext w:val="0"/>
              <w:keepLines w:val="0"/>
              <w:pageBreakBefore w:val="0"/>
              <w:widowControl w:val="0"/>
              <w:numPr>
                <w:ilvl w:val="-1"/>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仿宋" w:cs="Times New Roman"/>
                <w:kern w:val="0"/>
                <w:sz w:val="24"/>
                <w:szCs w:val="24"/>
                <w:lang w:val="en-US" w:eastAsia="zh-CN"/>
              </w:rPr>
            </w:pPr>
            <w:r>
              <w:rPr>
                <w:rFonts w:hint="eastAsia" w:eastAsia="仿宋" w:cs="Times New Roman"/>
                <w:kern w:val="0"/>
                <w:sz w:val="24"/>
                <w:szCs w:val="24"/>
                <w:lang w:val="en-US" w:eastAsia="zh-CN"/>
              </w:rPr>
              <w:t>从上表可以看出，原有项目生活污水经化粪池处理后进行农用，不排放至外环境，且生产过程中无生产废水产生。</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0" w:leftChars="0" w:firstLine="0" w:firstLineChars="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噪声</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both"/>
              <w:textAlignment w:val="auto"/>
              <w:rPr>
                <w:rFonts w:hint="default" w:ascii="Times New Roman" w:hAnsi="Times New Roman" w:eastAsia="仿宋" w:cs="Times New Roman"/>
                <w:kern w:val="0"/>
                <w:sz w:val="24"/>
                <w:szCs w:val="24"/>
                <w:lang w:val="en-US" w:eastAsia="zh-CN"/>
              </w:rPr>
            </w:pPr>
            <w:r>
              <w:rPr>
                <w:rFonts w:hint="eastAsia" w:eastAsia="仿宋" w:cs="Times New Roman"/>
                <w:b w:val="0"/>
                <w:bCs w:val="0"/>
                <w:sz w:val="24"/>
                <w:szCs w:val="24"/>
                <w:lang w:val="en-US" w:eastAsia="zh-CN"/>
              </w:rPr>
              <w:t>原有项目生产过程中采取距离衰减、隔声减振等措施，噪声达标排放。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（4）固废</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lang w:val="en-US" w:eastAsia="zh-CN"/>
              </w:rPr>
              <w:t>原有项目固废</w:t>
            </w:r>
            <w:r>
              <w:rPr>
                <w:rFonts w:hint="default" w:ascii="Times New Roman" w:hAnsi="Times New Roman" w:eastAsia="仿宋" w:cs="Times New Roman"/>
                <w:sz w:val="24"/>
                <w:szCs w:val="24"/>
                <w:lang w:val="en-US" w:eastAsia="zh-CN"/>
              </w:rPr>
              <w:t>为生活垃圾、</w:t>
            </w:r>
            <w:r>
              <w:rPr>
                <w:rFonts w:hint="eastAsia" w:ascii="Times New Roman" w:hAnsi="Times New Roman" w:eastAsia="仿宋" w:cs="Times New Roman"/>
                <w:sz w:val="24"/>
                <w:szCs w:val="24"/>
                <w:lang w:val="en-US" w:eastAsia="zh-CN"/>
              </w:rPr>
              <w:t>废边角料、含油废抹布手套、废热处理油等</w:t>
            </w:r>
            <w:r>
              <w:rPr>
                <w:rFonts w:hint="default" w:ascii="Times New Roman" w:hAnsi="Times New Roman" w:eastAsia="仿宋" w:cs="Times New Roman"/>
                <w:sz w:val="24"/>
                <w:szCs w:val="24"/>
                <w:lang w:val="en-US" w:eastAsia="zh-CN"/>
              </w:rPr>
              <w:t>。</w:t>
            </w:r>
          </w:p>
          <w:p>
            <w:pPr>
              <w:ind w:firstLine="482"/>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表</w:t>
            </w:r>
            <w:r>
              <w:rPr>
                <w:rFonts w:hint="eastAsia" w:ascii="Times New Roman" w:hAnsi="Times New Roman" w:eastAsia="仿宋" w:cs="Times New Roman"/>
                <w:b/>
                <w:bCs/>
                <w:sz w:val="24"/>
                <w:szCs w:val="24"/>
                <w:lang w:val="en-US" w:eastAsia="zh-CN"/>
              </w:rPr>
              <w:t>2-1</w:t>
            </w:r>
            <w:r>
              <w:rPr>
                <w:rFonts w:hint="eastAsia" w:eastAsia="仿宋" w:cs="Times New Roman"/>
                <w:b/>
                <w:bCs/>
                <w:sz w:val="24"/>
                <w:szCs w:val="24"/>
                <w:lang w:val="en-US" w:eastAsia="zh-CN"/>
              </w:rPr>
              <w:t>1</w:t>
            </w:r>
            <w:r>
              <w:rPr>
                <w:rFonts w:hint="default" w:ascii="Times New Roman" w:hAnsi="Times New Roman" w:eastAsia="仿宋" w:cs="Times New Roman"/>
                <w:b/>
                <w:bCs/>
                <w:sz w:val="24"/>
                <w:szCs w:val="24"/>
              </w:rPr>
              <w:t>原有项目固体废物利用处置方式评价表</w:t>
            </w:r>
          </w:p>
          <w:tbl>
            <w:tblPr>
              <w:tblStyle w:val="17"/>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1314"/>
              <w:gridCol w:w="758"/>
              <w:gridCol w:w="1417"/>
              <w:gridCol w:w="1351"/>
              <w:gridCol w:w="1322"/>
              <w:gridCol w:w="1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序号</w:t>
                  </w:r>
                </w:p>
              </w:tc>
              <w:tc>
                <w:tcPr>
                  <w:tcW w:w="780"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固废</w:t>
                  </w:r>
                </w:p>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名称</w:t>
                  </w:r>
                </w:p>
              </w:tc>
              <w:tc>
                <w:tcPr>
                  <w:tcW w:w="450"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属性</w:t>
                  </w:r>
                </w:p>
              </w:tc>
              <w:tc>
                <w:tcPr>
                  <w:tcW w:w="841"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产生工序</w:t>
                  </w:r>
                </w:p>
              </w:tc>
              <w:tc>
                <w:tcPr>
                  <w:tcW w:w="802"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废物代码</w:t>
                  </w:r>
                </w:p>
              </w:tc>
              <w:tc>
                <w:tcPr>
                  <w:tcW w:w="785"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产生量(</w:t>
                  </w:r>
                  <w:r>
                    <w:rPr>
                      <w:rFonts w:hint="default" w:ascii="Times New Roman" w:hAnsi="Times New Roman" w:eastAsia="仿宋" w:cs="Times New Roman"/>
                      <w:sz w:val="21"/>
                      <w:szCs w:val="21"/>
                      <w:lang w:val="en-US" w:eastAsia="zh-CN"/>
                    </w:rPr>
                    <w:t>t</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a</w:t>
                  </w:r>
                  <w:r>
                    <w:rPr>
                      <w:rFonts w:hint="default" w:ascii="Times New Roman" w:hAnsi="Times New Roman" w:eastAsia="仿宋" w:cs="Times New Roman"/>
                      <w:sz w:val="21"/>
                      <w:szCs w:val="21"/>
                    </w:rPr>
                    <w:t>)</w:t>
                  </w:r>
                </w:p>
              </w:tc>
              <w:tc>
                <w:tcPr>
                  <w:tcW w:w="1050"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color w:val="auto"/>
                      <w:sz w:val="21"/>
                      <w:szCs w:val="21"/>
                      <w:highlight w:val="none"/>
                    </w:rPr>
                    <w:t>利用处置方式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780"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生活垃圾</w:t>
                  </w:r>
                </w:p>
              </w:tc>
              <w:tc>
                <w:tcPr>
                  <w:tcW w:w="450"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生活垃圾</w:t>
                  </w:r>
                </w:p>
              </w:tc>
              <w:tc>
                <w:tcPr>
                  <w:tcW w:w="841"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生活</w:t>
                  </w:r>
                </w:p>
              </w:tc>
              <w:tc>
                <w:tcPr>
                  <w:tcW w:w="802"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w:t>
                  </w:r>
                </w:p>
              </w:tc>
              <w:tc>
                <w:tcPr>
                  <w:tcW w:w="785"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2.3</w:t>
                  </w:r>
                </w:p>
              </w:tc>
              <w:tc>
                <w:tcPr>
                  <w:tcW w:w="1050"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sz w:val="21"/>
                      <w:szCs w:val="21"/>
                      <w:highlight w:val="none"/>
                      <w:lang w:val="en-US" w:eastAsia="zh-CN"/>
                    </w:rPr>
                    <w:t>收集后环卫处理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780"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废钢边角料</w:t>
                  </w:r>
                </w:p>
              </w:tc>
              <w:tc>
                <w:tcPr>
                  <w:tcW w:w="450" w:type="pct"/>
                  <w:vMerge w:val="restar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一般固废</w:t>
                  </w:r>
                </w:p>
              </w:tc>
              <w:tc>
                <w:tcPr>
                  <w:tcW w:w="841"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断料、机加工</w:t>
                  </w:r>
                </w:p>
              </w:tc>
              <w:tc>
                <w:tcPr>
                  <w:tcW w:w="802"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785"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5.5</w:t>
                  </w:r>
                </w:p>
              </w:tc>
              <w:tc>
                <w:tcPr>
                  <w:tcW w:w="1050"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lang w:val="en-US" w:eastAsia="zh-CN"/>
                    </w:rPr>
                    <w:t>委外综合利用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w:t>
                  </w:r>
                </w:p>
              </w:tc>
              <w:tc>
                <w:tcPr>
                  <w:tcW w:w="780"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废铜边角料</w:t>
                  </w:r>
                </w:p>
              </w:tc>
              <w:tc>
                <w:tcPr>
                  <w:tcW w:w="450" w:type="pct"/>
                  <w:vMerge w:val="continue"/>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rPr>
                  </w:pPr>
                </w:p>
              </w:tc>
              <w:tc>
                <w:tcPr>
                  <w:tcW w:w="841"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断料、机加工</w:t>
                  </w:r>
                </w:p>
              </w:tc>
              <w:tc>
                <w:tcPr>
                  <w:tcW w:w="802"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785"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2.5</w:t>
                  </w:r>
                </w:p>
              </w:tc>
              <w:tc>
                <w:tcPr>
                  <w:tcW w:w="1050"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委外综合利用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w:t>
                  </w:r>
                </w:p>
              </w:tc>
              <w:tc>
                <w:tcPr>
                  <w:tcW w:w="780" w:type="pct"/>
                  <w:noWrap w:val="0"/>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含油废抹布手套</w:t>
                  </w:r>
                </w:p>
              </w:tc>
              <w:tc>
                <w:tcPr>
                  <w:tcW w:w="450" w:type="pct"/>
                  <w:vMerge w:val="restar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危险废物</w:t>
                  </w:r>
                </w:p>
              </w:tc>
              <w:tc>
                <w:tcPr>
                  <w:tcW w:w="841" w:type="pct"/>
                  <w:noWrap w:val="0"/>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生产清洁</w:t>
                  </w:r>
                </w:p>
              </w:tc>
              <w:tc>
                <w:tcPr>
                  <w:tcW w:w="802" w:type="pct"/>
                  <w:noWrap w:val="0"/>
                  <w:vAlign w:val="center"/>
                </w:tcPr>
                <w:p>
                  <w:pPr>
                    <w:pStyle w:val="40"/>
                    <w:keepNext w:val="0"/>
                    <w:keepLines w:val="0"/>
                    <w:pageBreakBefore w:val="0"/>
                    <w:widowControl w:val="0"/>
                    <w:kinsoku/>
                    <w:wordWrap/>
                    <w:overflowPunct w:val="0"/>
                    <w:topLinePunct w:val="0"/>
                    <w:autoSpaceDE/>
                    <w:autoSpaceDN/>
                    <w:bidi w:val="0"/>
                    <w:adjustRightInd w:val="0"/>
                    <w:snapToGrid w:val="0"/>
                    <w:spacing w:before="0" w:after="0" w:line="240" w:lineRule="auto"/>
                    <w:ind w:firstLine="0" w:firstLineChars="0"/>
                    <w:jc w:val="center"/>
                    <w:textAlignment w:val="baseline"/>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HW49</w:t>
                  </w:r>
                </w:p>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kern w:val="2"/>
                      <w:sz w:val="21"/>
                      <w:szCs w:val="21"/>
                      <w:lang w:val="en-US" w:eastAsia="zh-CN" w:bidi="ar-SA"/>
                    </w:rPr>
                    <w:t>900-041-49</w:t>
                  </w:r>
                </w:p>
              </w:tc>
              <w:tc>
                <w:tcPr>
                  <w:tcW w:w="785"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0.1</w:t>
                  </w:r>
                </w:p>
              </w:tc>
              <w:tc>
                <w:tcPr>
                  <w:tcW w:w="1050"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环卫清运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88"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w:t>
                  </w:r>
                </w:p>
              </w:tc>
              <w:tc>
                <w:tcPr>
                  <w:tcW w:w="780" w:type="pct"/>
                  <w:noWrap w:val="0"/>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废热处理油</w:t>
                  </w:r>
                </w:p>
              </w:tc>
              <w:tc>
                <w:tcPr>
                  <w:tcW w:w="450" w:type="pct"/>
                  <w:vMerge w:val="continue"/>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p>
              </w:tc>
              <w:tc>
                <w:tcPr>
                  <w:tcW w:w="841" w:type="pct"/>
                  <w:noWrap w:val="0"/>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淬火</w:t>
                  </w:r>
                </w:p>
              </w:tc>
              <w:tc>
                <w:tcPr>
                  <w:tcW w:w="802" w:type="pct"/>
                  <w:noWrap w:val="0"/>
                  <w:vAlign w:val="center"/>
                </w:tcPr>
                <w:p>
                  <w:pPr>
                    <w:pStyle w:val="40"/>
                    <w:keepNext w:val="0"/>
                    <w:keepLines w:val="0"/>
                    <w:pageBreakBefore w:val="0"/>
                    <w:widowControl w:val="0"/>
                    <w:kinsoku/>
                    <w:wordWrap/>
                    <w:overflowPunct w:val="0"/>
                    <w:topLinePunct w:val="0"/>
                    <w:autoSpaceDE/>
                    <w:autoSpaceDN/>
                    <w:bidi w:val="0"/>
                    <w:adjustRightInd w:val="0"/>
                    <w:snapToGrid w:val="0"/>
                    <w:spacing w:before="0" w:after="0" w:line="240" w:lineRule="auto"/>
                    <w:ind w:firstLine="0" w:firstLineChars="0"/>
                    <w:jc w:val="center"/>
                    <w:textAlignment w:val="baseline"/>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HW08</w:t>
                  </w:r>
                </w:p>
                <w:p>
                  <w:pPr>
                    <w:pStyle w:val="40"/>
                    <w:keepNext w:val="0"/>
                    <w:keepLines w:val="0"/>
                    <w:pageBreakBefore w:val="0"/>
                    <w:widowControl w:val="0"/>
                    <w:kinsoku/>
                    <w:wordWrap/>
                    <w:topLinePunct w:val="0"/>
                    <w:autoSpaceDE/>
                    <w:autoSpaceDN/>
                    <w:bidi w:val="0"/>
                    <w:snapToGrid w:val="0"/>
                    <w:spacing w:line="240" w:lineRule="auto"/>
                    <w:ind w:firstLine="0" w:firstLineChars="0"/>
                    <w:jc w:val="center"/>
                    <w:rPr>
                      <w:rFonts w:hint="default" w:ascii="Times New Roman" w:hAnsi="Times New Roman" w:eastAsia="仿宋" w:cs="Times New Roman"/>
                      <w:sz w:val="21"/>
                      <w:szCs w:val="21"/>
                      <w:lang w:val="en-US"/>
                    </w:rPr>
                  </w:pPr>
                  <w:r>
                    <w:rPr>
                      <w:rFonts w:hint="default" w:ascii="Times New Roman" w:hAnsi="Times New Roman" w:eastAsia="仿宋" w:cs="Times New Roman"/>
                      <w:kern w:val="2"/>
                      <w:sz w:val="21"/>
                      <w:szCs w:val="21"/>
                      <w:lang w:val="en-US" w:eastAsia="zh-CN" w:bidi="ar-SA"/>
                    </w:rPr>
                    <w:t>900-203-08</w:t>
                  </w:r>
                </w:p>
              </w:tc>
              <w:tc>
                <w:tcPr>
                  <w:tcW w:w="785" w:type="pct"/>
                  <w:noWrap w:val="0"/>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0.5</w:t>
                  </w:r>
                </w:p>
              </w:tc>
              <w:tc>
                <w:tcPr>
                  <w:tcW w:w="1050" w:type="pct"/>
                  <w:noWrap w:val="0"/>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委托有资质单位</w:t>
                  </w:r>
                </w:p>
              </w:tc>
            </w:tr>
          </w:tbl>
          <w:p>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仿宋" w:cs="Times New Roman"/>
                <w:szCs w:val="24"/>
                <w:lang w:val="en-US" w:eastAsia="zh-CN"/>
              </w:rPr>
            </w:pPr>
            <w:r>
              <w:rPr>
                <w:rFonts w:hint="default" w:ascii="Times New Roman" w:hAnsi="Times New Roman" w:eastAsia="仿宋" w:cs="Times New Roman"/>
                <w:b/>
                <w:bCs/>
                <w:szCs w:val="24"/>
                <w:lang w:val="en-US" w:eastAsia="zh-CN"/>
              </w:rPr>
              <w:t>注：*原有环评编制较早，估算固废种类较少，上述固废产生量为自查中进行的统计。</w:t>
            </w:r>
          </w:p>
          <w:p>
            <w:pPr>
              <w:autoSpaceDE/>
              <w:autoSpaceDN/>
              <w:spacing w:line="360" w:lineRule="auto"/>
              <w:ind w:firstLine="482"/>
              <w:rPr>
                <w:rFonts w:hint="eastAsia" w:ascii="Times New Roman" w:hAnsi="Times New Roman" w:eastAsia="仿宋" w:cs="Times New Roman"/>
                <w:color w:val="auto"/>
                <w:kern w:val="2"/>
                <w:highlight w:val="none"/>
                <w:lang w:val="en-US" w:eastAsia="zh-CN"/>
              </w:rPr>
            </w:pPr>
            <w:r>
              <w:rPr>
                <w:rFonts w:hint="default" w:ascii="Times New Roman" w:hAnsi="Times New Roman" w:eastAsia="仿宋" w:cs="Times New Roman"/>
                <w:color w:val="auto"/>
                <w:sz w:val="24"/>
                <w:szCs w:val="24"/>
                <w:highlight w:val="none"/>
                <w:lang w:val="en-US" w:eastAsia="zh-CN"/>
              </w:rPr>
              <w:t>原有项目</w:t>
            </w:r>
            <w:r>
              <w:rPr>
                <w:rFonts w:hint="default" w:ascii="Times New Roman" w:hAnsi="Times New Roman" w:eastAsia="仿宋" w:cs="Times New Roman"/>
                <w:color w:val="auto"/>
                <w:sz w:val="24"/>
                <w:szCs w:val="24"/>
                <w:highlight w:val="none"/>
              </w:rPr>
              <w:t>设置一般固废堆场1个，占地面积为</w:t>
            </w:r>
            <w:r>
              <w:rPr>
                <w:rFonts w:hint="eastAsia" w:eastAsia="仿宋" w:cs="Times New Roman"/>
                <w:color w:val="auto"/>
                <w:sz w:val="24"/>
                <w:szCs w:val="24"/>
                <w:highlight w:val="none"/>
                <w:lang w:val="en-US" w:eastAsia="zh-CN"/>
              </w:rPr>
              <w:t>20</w:t>
            </w:r>
            <w:r>
              <w:rPr>
                <w:rFonts w:hint="default" w:ascii="Times New Roman" w:hAnsi="Times New Roman" w:eastAsia="仿宋" w:cs="Times New Roman"/>
                <w:color w:val="auto"/>
                <w:sz w:val="24"/>
                <w:szCs w:val="24"/>
                <w:highlight w:val="none"/>
              </w:rPr>
              <w:t>m</w:t>
            </w:r>
            <w:r>
              <w:rPr>
                <w:rFonts w:hint="default" w:ascii="Times New Roman" w:hAnsi="Times New Roman" w:eastAsia="仿宋" w:cs="Times New Roman"/>
                <w:color w:val="auto"/>
                <w:sz w:val="24"/>
                <w:szCs w:val="24"/>
                <w:highlight w:val="none"/>
                <w:vertAlign w:val="superscript"/>
              </w:rPr>
              <w:t>2</w:t>
            </w:r>
            <w:r>
              <w:rPr>
                <w:rFonts w:hint="default" w:ascii="Times New Roman" w:hAnsi="Times New Roman" w:eastAsia="仿宋" w:cs="Times New Roman"/>
                <w:color w:val="auto"/>
                <w:sz w:val="24"/>
                <w:szCs w:val="24"/>
                <w:highlight w:val="none"/>
              </w:rPr>
              <w:t>，主要用于堆放</w:t>
            </w:r>
            <w:r>
              <w:rPr>
                <w:rFonts w:hint="eastAsia" w:eastAsia="仿宋" w:cs="Times New Roman"/>
                <w:color w:val="auto"/>
                <w:sz w:val="24"/>
                <w:szCs w:val="24"/>
                <w:highlight w:val="none"/>
                <w:lang w:val="en-US" w:eastAsia="zh-CN"/>
              </w:rPr>
              <w:t>设备养护产生的</w:t>
            </w:r>
            <w:r>
              <w:rPr>
                <w:rFonts w:hint="default" w:ascii="Times New Roman" w:hAnsi="Times New Roman" w:eastAsia="仿宋" w:cs="Times New Roman"/>
                <w:color w:val="auto"/>
                <w:sz w:val="24"/>
                <w:szCs w:val="24"/>
                <w:highlight w:val="none"/>
              </w:rPr>
              <w:t>金属屑等</w:t>
            </w:r>
            <w:r>
              <w:rPr>
                <w:rFonts w:hint="eastAsia"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原有项目设置危废仓库一个，占地面积为5m</w:t>
            </w:r>
            <w:r>
              <w:rPr>
                <w:rFonts w:hint="eastAsia" w:eastAsia="仿宋" w:cs="Times New Roman"/>
                <w:color w:val="auto"/>
                <w:sz w:val="24"/>
                <w:szCs w:val="24"/>
                <w:highlight w:val="none"/>
                <w:vertAlign w:val="superscript"/>
                <w:lang w:val="en-US" w:eastAsia="zh-CN"/>
              </w:rPr>
              <w:t>2</w:t>
            </w:r>
            <w:r>
              <w:rPr>
                <w:rFonts w:hint="eastAsia" w:eastAsia="仿宋" w:cs="Times New Roman"/>
                <w:color w:val="auto"/>
                <w:sz w:val="24"/>
                <w:szCs w:val="24"/>
                <w:highlight w:val="none"/>
                <w:lang w:val="en-US" w:eastAsia="zh-CN"/>
              </w:rPr>
              <w:t>，用于存放产生的危险固废</w:t>
            </w:r>
            <w:r>
              <w:rPr>
                <w:rFonts w:hint="default" w:ascii="Times New Roman" w:hAnsi="Times New Roman" w:eastAsia="仿宋"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3.污染物排放及总量控制</w:t>
            </w:r>
          </w:p>
          <w:p>
            <w:pPr>
              <w:spacing w:line="440" w:lineRule="exact"/>
              <w:ind w:firstLine="482"/>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表</w:t>
            </w:r>
            <w:r>
              <w:rPr>
                <w:rFonts w:hint="default" w:ascii="Times New Roman" w:hAnsi="Times New Roman" w:eastAsia="仿宋" w:cs="Times New Roman"/>
                <w:b/>
                <w:bCs/>
                <w:sz w:val="24"/>
                <w:szCs w:val="24"/>
                <w:lang w:val="en-US" w:eastAsia="zh-CN"/>
              </w:rPr>
              <w:t>2</w:t>
            </w:r>
            <w:r>
              <w:rPr>
                <w:rFonts w:hint="default" w:ascii="Times New Roman" w:hAnsi="Times New Roman" w:eastAsia="仿宋" w:cs="Times New Roman"/>
                <w:b/>
                <w:bCs/>
                <w:sz w:val="24"/>
                <w:szCs w:val="24"/>
              </w:rPr>
              <w:t>-1</w:t>
            </w:r>
            <w:r>
              <w:rPr>
                <w:rFonts w:hint="eastAsia" w:eastAsia="仿宋" w:cs="Times New Roman"/>
                <w:b/>
                <w:bCs/>
                <w:sz w:val="24"/>
                <w:szCs w:val="24"/>
                <w:lang w:val="en-US" w:eastAsia="zh-CN"/>
              </w:rPr>
              <w:t>2</w:t>
            </w:r>
            <w:r>
              <w:rPr>
                <w:rFonts w:hint="default" w:ascii="Times New Roman" w:hAnsi="Times New Roman" w:eastAsia="仿宋" w:cs="Times New Roman"/>
                <w:b/>
                <w:bCs/>
                <w:sz w:val="24"/>
                <w:szCs w:val="24"/>
              </w:rPr>
              <w:t xml:space="preserve"> 原有项目污染物排放</w:t>
            </w:r>
            <w:r>
              <w:rPr>
                <w:rFonts w:hint="eastAsia" w:ascii="Times New Roman" w:hAnsi="Times New Roman" w:eastAsia="仿宋" w:cs="Times New Roman"/>
                <w:b/>
                <w:bCs/>
                <w:sz w:val="24"/>
                <w:szCs w:val="24"/>
                <w:lang w:val="en-US" w:eastAsia="zh-CN"/>
              </w:rPr>
              <w:t>总量</w:t>
            </w:r>
            <w:r>
              <w:rPr>
                <w:rFonts w:hint="default" w:ascii="Times New Roman" w:hAnsi="Times New Roman" w:eastAsia="仿宋" w:cs="Times New Roman"/>
                <w:b/>
                <w:bCs/>
                <w:sz w:val="24"/>
                <w:szCs w:val="24"/>
              </w:rPr>
              <w:t>情况</w:t>
            </w:r>
          </w:p>
          <w:tbl>
            <w:tblPr>
              <w:tblStyle w:val="17"/>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248"/>
              <w:gridCol w:w="1971"/>
              <w:gridCol w:w="2232"/>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7" w:type="dxa"/>
                  <w:gridSpan w:val="2"/>
                  <w:vAlign w:val="center"/>
                </w:tcPr>
                <w:p>
                  <w:pPr>
                    <w:snapToGrid w:val="0"/>
                    <w:spacing w:line="240" w:lineRule="auto"/>
                    <w:ind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类别</w:t>
                  </w:r>
                </w:p>
              </w:tc>
              <w:tc>
                <w:tcPr>
                  <w:tcW w:w="1971" w:type="dxa"/>
                  <w:vAlign w:val="center"/>
                </w:tcPr>
                <w:p>
                  <w:pPr>
                    <w:snapToGrid w:val="0"/>
                    <w:spacing w:line="240" w:lineRule="auto"/>
                    <w:ind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污染物名称</w:t>
                  </w:r>
                </w:p>
              </w:tc>
              <w:tc>
                <w:tcPr>
                  <w:tcW w:w="2232" w:type="dxa"/>
                  <w:vAlign w:val="center"/>
                </w:tcPr>
                <w:p>
                  <w:pPr>
                    <w:snapToGrid w:val="0"/>
                    <w:spacing w:line="240" w:lineRule="auto"/>
                    <w:ind w:firstLine="0" w:firstLineChars="0"/>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rPr>
                    <w:t>排放量（t/a）</w:t>
                  </w:r>
                  <w:r>
                    <w:rPr>
                      <w:rFonts w:hint="default" w:ascii="Times New Roman" w:hAnsi="Times New Roman" w:eastAsia="仿宋" w:cs="Times New Roman"/>
                      <w:b/>
                      <w:bCs/>
                      <w:sz w:val="21"/>
                      <w:szCs w:val="21"/>
                      <w:lang w:val="en-US" w:eastAsia="zh-CN"/>
                    </w:rPr>
                    <w:t>*</w:t>
                  </w:r>
                </w:p>
              </w:tc>
              <w:tc>
                <w:tcPr>
                  <w:tcW w:w="2232" w:type="dxa"/>
                  <w:vAlign w:val="center"/>
                </w:tcPr>
                <w:p>
                  <w:pPr>
                    <w:snapToGrid w:val="0"/>
                    <w:spacing w:line="240" w:lineRule="auto"/>
                    <w:ind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环评及批复量（t/a）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dxa"/>
                  <w:vAlign w:val="center"/>
                </w:tcPr>
                <w:p>
                  <w:pPr>
                    <w:snapToGrid w:val="0"/>
                    <w:spacing w:line="240" w:lineRule="auto"/>
                    <w:ind w:firstLine="0" w:firstLineChars="0"/>
                    <w:jc w:val="center"/>
                    <w:rPr>
                      <w:rFonts w:hint="eastAsia" w:ascii="Times New Roman" w:hAnsi="Times New Roman" w:eastAsia="仿宋" w:cs="Times New Roman"/>
                      <w:sz w:val="21"/>
                      <w:szCs w:val="21"/>
                      <w:lang w:val="en-US" w:eastAsia="zh-CN"/>
                    </w:rPr>
                  </w:pPr>
                  <w:r>
                    <w:rPr>
                      <w:rFonts w:hint="eastAsia" w:eastAsia="仿宋" w:cs="Times New Roman"/>
                      <w:sz w:val="21"/>
                      <w:szCs w:val="21"/>
                      <w:lang w:val="en-US" w:eastAsia="zh-CN"/>
                    </w:rPr>
                    <w:t>废气</w:t>
                  </w:r>
                </w:p>
              </w:tc>
              <w:tc>
                <w:tcPr>
                  <w:tcW w:w="1248" w:type="dxa"/>
                  <w:vAlign w:val="center"/>
                </w:tcPr>
                <w:p>
                  <w:pPr>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无组织废气</w:t>
                  </w:r>
                </w:p>
              </w:tc>
              <w:tc>
                <w:tcPr>
                  <w:tcW w:w="1971"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非甲烷总烃</w:t>
                  </w:r>
                </w:p>
              </w:tc>
              <w:tc>
                <w:tcPr>
                  <w:tcW w:w="2232"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0.008</w:t>
                  </w:r>
                </w:p>
              </w:tc>
              <w:tc>
                <w:tcPr>
                  <w:tcW w:w="2232"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7" w:type="dxa"/>
                  <w:gridSpan w:val="2"/>
                  <w:vMerge w:val="restart"/>
                  <w:vAlign w:val="center"/>
                </w:tcPr>
                <w:p>
                  <w:pPr>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废水</w:t>
                  </w:r>
                </w:p>
              </w:tc>
              <w:tc>
                <w:tcPr>
                  <w:tcW w:w="1971" w:type="dxa"/>
                  <w:vAlign w:val="center"/>
                </w:tcPr>
                <w:p>
                  <w:pPr>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水量</w:t>
                  </w:r>
                </w:p>
              </w:tc>
              <w:tc>
                <w:tcPr>
                  <w:tcW w:w="2232"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0</w:t>
                  </w:r>
                </w:p>
              </w:tc>
              <w:tc>
                <w:tcPr>
                  <w:tcW w:w="2232" w:type="dxa"/>
                  <w:vAlign w:val="center"/>
                </w:tcPr>
                <w:p>
                  <w:pPr>
                    <w:widowControl/>
                    <w:spacing w:line="240" w:lineRule="auto"/>
                    <w:ind w:firstLine="0" w:firstLineChars="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7" w:type="dxa"/>
                  <w:gridSpan w:val="2"/>
                  <w:vMerge w:val="continue"/>
                  <w:vAlign w:val="center"/>
                </w:tcPr>
                <w:p>
                  <w:pPr>
                    <w:snapToGrid w:val="0"/>
                    <w:spacing w:line="240" w:lineRule="auto"/>
                    <w:ind w:firstLine="0" w:firstLineChars="0"/>
                    <w:jc w:val="center"/>
                    <w:rPr>
                      <w:rFonts w:hint="default" w:ascii="Times New Roman" w:hAnsi="Times New Roman" w:eastAsia="仿宋" w:cs="Times New Roman"/>
                      <w:sz w:val="21"/>
                      <w:szCs w:val="21"/>
                    </w:rPr>
                  </w:pPr>
                </w:p>
              </w:tc>
              <w:tc>
                <w:tcPr>
                  <w:tcW w:w="1971" w:type="dxa"/>
                  <w:vAlign w:val="center"/>
                </w:tcPr>
                <w:p>
                  <w:pPr>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COD</w:t>
                  </w:r>
                </w:p>
              </w:tc>
              <w:tc>
                <w:tcPr>
                  <w:tcW w:w="2232" w:type="dxa"/>
                  <w:vAlign w:val="center"/>
                </w:tcPr>
                <w:p>
                  <w:pPr>
                    <w:widowControl/>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0</w:t>
                  </w:r>
                </w:p>
              </w:tc>
              <w:tc>
                <w:tcPr>
                  <w:tcW w:w="2232" w:type="dxa"/>
                  <w:vAlign w:val="center"/>
                </w:tcPr>
                <w:p>
                  <w:pPr>
                    <w:widowControl/>
                    <w:spacing w:line="240" w:lineRule="auto"/>
                    <w:ind w:firstLine="0" w:firstLineChars="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7" w:type="dxa"/>
                  <w:gridSpan w:val="2"/>
                  <w:vMerge w:val="continue"/>
                  <w:vAlign w:val="center"/>
                </w:tcPr>
                <w:p>
                  <w:pPr>
                    <w:snapToGrid w:val="0"/>
                    <w:spacing w:line="240" w:lineRule="auto"/>
                    <w:ind w:firstLine="0" w:firstLineChars="0"/>
                    <w:jc w:val="center"/>
                    <w:rPr>
                      <w:rFonts w:hint="default" w:ascii="Times New Roman" w:hAnsi="Times New Roman" w:eastAsia="仿宋" w:cs="Times New Roman"/>
                      <w:sz w:val="21"/>
                      <w:szCs w:val="21"/>
                    </w:rPr>
                  </w:pPr>
                </w:p>
              </w:tc>
              <w:tc>
                <w:tcPr>
                  <w:tcW w:w="1971" w:type="dxa"/>
                  <w:vAlign w:val="center"/>
                </w:tcPr>
                <w:p>
                  <w:pPr>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SS</w:t>
                  </w:r>
                </w:p>
              </w:tc>
              <w:tc>
                <w:tcPr>
                  <w:tcW w:w="2232" w:type="dxa"/>
                  <w:vAlign w:val="center"/>
                </w:tcPr>
                <w:p>
                  <w:pPr>
                    <w:widowControl/>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0</w:t>
                  </w:r>
                </w:p>
              </w:tc>
              <w:tc>
                <w:tcPr>
                  <w:tcW w:w="2232" w:type="dxa"/>
                  <w:vAlign w:val="center"/>
                </w:tcPr>
                <w:p>
                  <w:pPr>
                    <w:widowControl/>
                    <w:spacing w:line="240" w:lineRule="auto"/>
                    <w:ind w:firstLine="0" w:firstLineChars="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7" w:type="dxa"/>
                  <w:gridSpan w:val="2"/>
                  <w:vMerge w:val="continue"/>
                  <w:vAlign w:val="center"/>
                </w:tcPr>
                <w:p>
                  <w:pPr>
                    <w:snapToGrid w:val="0"/>
                    <w:spacing w:line="240" w:lineRule="auto"/>
                    <w:ind w:firstLine="0" w:firstLineChars="0"/>
                    <w:jc w:val="center"/>
                    <w:rPr>
                      <w:rFonts w:hint="default" w:ascii="Times New Roman" w:hAnsi="Times New Roman" w:eastAsia="仿宋" w:cs="Times New Roman"/>
                      <w:sz w:val="21"/>
                      <w:szCs w:val="21"/>
                    </w:rPr>
                  </w:pPr>
                </w:p>
              </w:tc>
              <w:tc>
                <w:tcPr>
                  <w:tcW w:w="1971" w:type="dxa"/>
                  <w:vAlign w:val="center"/>
                </w:tcPr>
                <w:p>
                  <w:pPr>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NH</w:t>
                  </w:r>
                  <w:r>
                    <w:rPr>
                      <w:rFonts w:hint="default" w:ascii="Times New Roman" w:hAnsi="Times New Roman" w:eastAsia="仿宋" w:cs="Times New Roman"/>
                      <w:sz w:val="21"/>
                      <w:szCs w:val="21"/>
                      <w:vertAlign w:val="subscript"/>
                    </w:rPr>
                    <w:t>3</w:t>
                  </w:r>
                  <w:r>
                    <w:rPr>
                      <w:rFonts w:hint="default" w:ascii="Times New Roman" w:hAnsi="Times New Roman" w:eastAsia="仿宋" w:cs="Times New Roman"/>
                      <w:sz w:val="21"/>
                      <w:szCs w:val="21"/>
                    </w:rPr>
                    <w:t>-N</w:t>
                  </w:r>
                </w:p>
              </w:tc>
              <w:tc>
                <w:tcPr>
                  <w:tcW w:w="2232" w:type="dxa"/>
                  <w:vAlign w:val="center"/>
                </w:tcPr>
                <w:p>
                  <w:pPr>
                    <w:widowControl/>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0</w:t>
                  </w:r>
                </w:p>
              </w:tc>
              <w:tc>
                <w:tcPr>
                  <w:tcW w:w="2232" w:type="dxa"/>
                  <w:vAlign w:val="center"/>
                </w:tcPr>
                <w:p>
                  <w:pPr>
                    <w:widowControl/>
                    <w:spacing w:line="240" w:lineRule="auto"/>
                    <w:ind w:firstLine="0" w:firstLineChars="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7" w:type="dxa"/>
                  <w:gridSpan w:val="2"/>
                  <w:vMerge w:val="continue"/>
                  <w:vAlign w:val="center"/>
                </w:tcPr>
                <w:p>
                  <w:pPr>
                    <w:snapToGrid w:val="0"/>
                    <w:spacing w:line="240" w:lineRule="auto"/>
                    <w:ind w:firstLine="0" w:firstLineChars="0"/>
                    <w:jc w:val="center"/>
                    <w:rPr>
                      <w:rFonts w:hint="default" w:ascii="Times New Roman" w:hAnsi="Times New Roman" w:eastAsia="仿宋" w:cs="Times New Roman"/>
                      <w:sz w:val="21"/>
                      <w:szCs w:val="21"/>
                    </w:rPr>
                  </w:pPr>
                </w:p>
              </w:tc>
              <w:tc>
                <w:tcPr>
                  <w:tcW w:w="1971" w:type="dxa"/>
                  <w:vAlign w:val="center"/>
                </w:tcPr>
                <w:p>
                  <w:pPr>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TP</w:t>
                  </w:r>
                </w:p>
              </w:tc>
              <w:tc>
                <w:tcPr>
                  <w:tcW w:w="2232" w:type="dxa"/>
                  <w:vAlign w:val="center"/>
                </w:tcPr>
                <w:p>
                  <w:pPr>
                    <w:widowControl/>
                    <w:spacing w:line="240" w:lineRule="auto"/>
                    <w:ind w:firstLine="0" w:firstLineChars="0"/>
                    <w:jc w:val="center"/>
                    <w:textAlignment w:val="center"/>
                    <w:rPr>
                      <w:rFonts w:hint="default" w:ascii="Times New Roman" w:hAnsi="Times New Roman" w:eastAsia="仿宋" w:cs="Times New Roman"/>
                      <w:sz w:val="21"/>
                      <w:szCs w:val="21"/>
                      <w:lang w:val="en-US"/>
                    </w:rPr>
                  </w:pPr>
                  <w:r>
                    <w:rPr>
                      <w:rFonts w:hint="default" w:ascii="Times New Roman" w:hAnsi="Times New Roman" w:eastAsia="仿宋" w:cs="Times New Roman"/>
                      <w:sz w:val="21"/>
                      <w:szCs w:val="21"/>
                      <w:lang w:val="en-US" w:eastAsia="zh-CN"/>
                    </w:rPr>
                    <w:t>0</w:t>
                  </w:r>
                </w:p>
              </w:tc>
              <w:tc>
                <w:tcPr>
                  <w:tcW w:w="2232" w:type="dxa"/>
                  <w:vAlign w:val="center"/>
                </w:tcPr>
                <w:p>
                  <w:pPr>
                    <w:widowControl/>
                    <w:spacing w:line="240" w:lineRule="auto"/>
                    <w:ind w:firstLine="0" w:firstLineChars="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8" w:type="dxa"/>
                  <w:gridSpan w:val="3"/>
                  <w:vAlign w:val="center"/>
                </w:tcPr>
                <w:p>
                  <w:pPr>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固废</w:t>
                  </w:r>
                </w:p>
              </w:tc>
              <w:tc>
                <w:tcPr>
                  <w:tcW w:w="2232" w:type="dxa"/>
                  <w:vAlign w:val="center"/>
                </w:tcPr>
                <w:p>
                  <w:pPr>
                    <w:widowControl/>
                    <w:spacing w:line="240" w:lineRule="auto"/>
                    <w:ind w:firstLine="0" w:firstLineChars="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2232" w:type="dxa"/>
                  <w:vAlign w:val="center"/>
                </w:tcPr>
                <w:p>
                  <w:pPr>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firstLine="422" w:firstLineChars="200"/>
              <w:jc w:val="both"/>
              <w:textAlignment w:val="auto"/>
              <w:rPr>
                <w:rFonts w:hint="default" w:ascii="Times New Roman" w:hAnsi="Times New Roman" w:eastAsia="仿宋" w:cs="Times New Roman"/>
                <w:b/>
                <w:bCs/>
                <w:kern w:val="0"/>
                <w:sz w:val="21"/>
                <w:szCs w:val="21"/>
                <w:lang w:val="en-US" w:eastAsia="zh-CN"/>
              </w:rPr>
            </w:pPr>
            <w:r>
              <w:rPr>
                <w:rFonts w:hint="eastAsia" w:eastAsia="仿宋" w:cs="Times New Roman"/>
                <w:b/>
                <w:bCs/>
                <w:kern w:val="0"/>
                <w:sz w:val="21"/>
                <w:szCs w:val="21"/>
                <w:lang w:val="en-US" w:eastAsia="zh-CN"/>
              </w:rPr>
              <w:t>注：表格中无组织排放量为原有项目实际排放量，数据来源为自查核算的无组织排放量；环评及批复量为原有项目环评及批复中的计算量，原有项目环评由于编制时间较早，故无相关总量信息，原有项目生活污水经化粪池处理后堆肥，故无废水排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仿宋" w:cs="Times New Roman"/>
                <w:sz w:val="24"/>
                <w:szCs w:val="24"/>
              </w:rPr>
            </w:pPr>
            <w:r>
              <w:rPr>
                <w:rFonts w:hint="eastAsia" w:ascii="Times New Roman" w:hAnsi="Times New Roman" w:eastAsia="仿宋" w:cs="Times New Roman"/>
                <w:b/>
                <w:bCs/>
                <w:kern w:val="0"/>
                <w:sz w:val="24"/>
                <w:szCs w:val="24"/>
                <w:lang w:val="en-US" w:eastAsia="zh-CN"/>
              </w:rPr>
              <w:t>4.原有项目环境问题及“以新带老”措施</w:t>
            </w:r>
          </w:p>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仿宋" w:cs="Times New Roman"/>
                <w:sz w:val="24"/>
                <w:szCs w:val="24"/>
                <w:lang w:val="en-US" w:eastAsia="zh-CN"/>
              </w:rPr>
            </w:pPr>
            <w:r>
              <w:rPr>
                <w:rFonts w:hint="eastAsia" w:ascii="Times New Roman" w:hAnsi="Times New Roman" w:eastAsia="仿宋" w:cs="Times New Roman"/>
                <w:b/>
                <w:bCs/>
                <w:kern w:val="0"/>
                <w:sz w:val="24"/>
                <w:szCs w:val="24"/>
                <w:lang w:val="en-US" w:eastAsia="zh-CN"/>
              </w:rPr>
              <w:t>原有项目环境问题</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（1）原有项目淬火、回火挥发的</w:t>
            </w:r>
            <w:r>
              <w:rPr>
                <w:rFonts w:hint="eastAsia" w:eastAsia="仿宋" w:cs="Times New Roman"/>
                <w:sz w:val="24"/>
                <w:szCs w:val="24"/>
                <w:lang w:val="en-US" w:eastAsia="zh-CN"/>
              </w:rPr>
              <w:t>有机废气</w:t>
            </w:r>
            <w:r>
              <w:rPr>
                <w:rFonts w:hint="default" w:ascii="Times New Roman" w:hAnsi="Times New Roman" w:eastAsia="仿宋" w:cs="Times New Roman"/>
                <w:sz w:val="24"/>
                <w:szCs w:val="24"/>
                <w:lang w:val="en-US" w:eastAsia="zh-CN"/>
              </w:rPr>
              <w:t>均未设置收集与处理措施。</w:t>
            </w:r>
          </w:p>
          <w:p>
            <w:pPr>
              <w:pStyle w:val="2"/>
              <w:spacing w:line="360" w:lineRule="auto"/>
              <w:ind w:firstLine="480" w:firstLineChars="200"/>
              <w:rPr>
                <w:rFonts w:hint="default" w:ascii="Times New Roman" w:hAnsi="Times New Roman" w:eastAsia="仿宋" w:cs="Times New Roman"/>
                <w:sz w:val="24"/>
                <w:szCs w:val="24"/>
                <w:lang w:val="en-US" w:eastAsia="zh-CN"/>
              </w:rPr>
            </w:pPr>
            <w:r>
              <w:rPr>
                <w:rFonts w:hint="default" w:ascii="Times New Roman" w:hAnsi="Times New Roman" w:cs="Times New Roman"/>
                <w:lang w:val="en-US" w:eastAsia="zh-CN"/>
              </w:rPr>
              <w:t>（2</w:t>
            </w:r>
            <w:r>
              <w:rPr>
                <w:rFonts w:hint="default" w:ascii="Times New Roman" w:hAnsi="Times New Roman" w:eastAsia="仿宋" w:cs="Times New Roman"/>
                <w:sz w:val="24"/>
                <w:szCs w:val="24"/>
                <w:lang w:val="en-US" w:eastAsia="zh-CN"/>
              </w:rPr>
              <w:t>）原有项目生活污水</w:t>
            </w:r>
            <w:r>
              <w:rPr>
                <w:rFonts w:hint="eastAsia" w:ascii="Times New Roman" w:hAnsi="Times New Roman" w:eastAsia="仿宋" w:cs="Times New Roman"/>
                <w:sz w:val="24"/>
                <w:szCs w:val="24"/>
                <w:lang w:val="en-US" w:eastAsia="zh-CN"/>
              </w:rPr>
              <w:t>未接管</w:t>
            </w:r>
            <w:r>
              <w:rPr>
                <w:rFonts w:hint="default" w:ascii="Times New Roman" w:hAnsi="Times New Roman" w:eastAsia="仿宋" w:cs="Times New Roman"/>
                <w:sz w:val="24"/>
                <w:szCs w:val="24"/>
                <w:lang w:val="en-US" w:eastAsia="zh-CN"/>
              </w:rPr>
              <w:t>。</w:t>
            </w:r>
          </w:p>
          <w:p>
            <w:pPr>
              <w:pStyle w:val="2"/>
              <w:spacing w:line="360" w:lineRule="auto"/>
              <w:ind w:firstLine="480" w:firstLineChars="200"/>
              <w:rPr>
                <w:rFonts w:hint="default"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（3）原有项目报告固废种类估算不完全。</w:t>
            </w:r>
          </w:p>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“以新带老”措施</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w:t>
            </w:r>
            <w:r>
              <w:rPr>
                <w:rFonts w:hint="eastAsia" w:eastAsia="仿宋" w:cs="Times New Roman"/>
                <w:sz w:val="24"/>
                <w:szCs w:val="24"/>
                <w:lang w:val="en-US" w:eastAsia="zh-CN"/>
              </w:rPr>
              <w:t>搬迁后新建</w:t>
            </w:r>
            <w:r>
              <w:rPr>
                <w:rFonts w:hint="default" w:ascii="Times New Roman" w:hAnsi="Times New Roman" w:eastAsia="仿宋" w:cs="Times New Roman"/>
                <w:sz w:val="24"/>
                <w:szCs w:val="24"/>
                <w:lang w:val="en-US" w:eastAsia="zh-CN"/>
              </w:rPr>
              <w:t>集气罩收集挥发产生的有机废气，然后经</w:t>
            </w:r>
            <w:r>
              <w:rPr>
                <w:rFonts w:hint="eastAsia" w:eastAsia="仿宋" w:cs="Times New Roman"/>
                <w:sz w:val="24"/>
                <w:szCs w:val="24"/>
                <w:lang w:val="en-US" w:eastAsia="zh-CN"/>
              </w:rPr>
              <w:t>UV光氧化</w:t>
            </w:r>
            <w:r>
              <w:rPr>
                <w:rFonts w:hint="default" w:ascii="Times New Roman" w:hAnsi="Times New Roman" w:eastAsia="仿宋" w:cs="Times New Roman"/>
                <w:sz w:val="24"/>
                <w:szCs w:val="24"/>
                <w:lang w:val="en-US" w:eastAsia="zh-CN"/>
              </w:rPr>
              <w:t>＋活性炭吸附处理后通过15m高的1#排气筒排放。</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仿宋" w:cs="Times New Roman"/>
                <w:sz w:val="24"/>
                <w:szCs w:val="24"/>
                <w:lang w:val="en-US" w:eastAsia="zh-CN"/>
              </w:rPr>
            </w:pPr>
            <w:r>
              <w:rPr>
                <w:rFonts w:hint="eastAsia" w:eastAsia="仿宋" w:cs="Times New Roman"/>
                <w:sz w:val="24"/>
                <w:szCs w:val="24"/>
                <w:lang w:val="en-US" w:eastAsia="zh-CN"/>
              </w:rPr>
              <w:t>（2）本项目生活污水经化粪池处理后依托出租方已有管网接管至郑陆污水处理有限公司。</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仿宋" w:cs="Times New Roman"/>
                <w:bCs/>
                <w:sz w:val="24"/>
                <w:szCs w:val="24"/>
                <w:lang w:val="en-US" w:eastAsia="zh-CN"/>
              </w:rPr>
            </w:pPr>
            <w:r>
              <w:rPr>
                <w:rFonts w:hint="default" w:ascii="Times New Roman" w:hAnsi="Times New Roman" w:eastAsia="仿宋" w:cs="Times New Roman"/>
                <w:bCs/>
                <w:sz w:val="24"/>
                <w:szCs w:val="24"/>
                <w:lang w:val="en-US" w:eastAsia="zh-CN"/>
              </w:rPr>
              <w:t>（3）企业原地址厂区</w:t>
            </w:r>
            <w:r>
              <w:rPr>
                <w:rFonts w:hint="eastAsia" w:eastAsia="仿宋" w:cs="Times New Roman"/>
                <w:bCs/>
                <w:sz w:val="24"/>
                <w:szCs w:val="24"/>
                <w:lang w:val="en-US" w:eastAsia="zh-CN"/>
              </w:rPr>
              <w:t>已</w:t>
            </w:r>
            <w:r>
              <w:rPr>
                <w:rFonts w:hint="default" w:ascii="Times New Roman" w:hAnsi="Times New Roman" w:eastAsia="仿宋" w:cs="Times New Roman"/>
                <w:bCs/>
                <w:sz w:val="24"/>
                <w:szCs w:val="24"/>
                <w:lang w:val="en-US" w:eastAsia="zh-CN"/>
              </w:rPr>
              <w:t>按照《关于加强工业企业关停、搬迁及原址场地在开发利用过程中污染防治工作的通知》（环发【2014】66号）中的相关要求执行</w:t>
            </w:r>
            <w:r>
              <w:rPr>
                <w:rFonts w:hint="eastAsia" w:eastAsia="仿宋" w:cs="Times New Roman"/>
                <w:bCs/>
                <w:sz w:val="24"/>
                <w:szCs w:val="24"/>
                <w:lang w:val="en-US" w:eastAsia="zh-CN"/>
              </w:rPr>
              <w:t>进行设备拆除等工作</w:t>
            </w:r>
            <w:r>
              <w:rPr>
                <w:rFonts w:hint="default" w:ascii="Times New Roman" w:hAnsi="Times New Roman" w:eastAsia="仿宋" w:cs="Times New Roman"/>
                <w:bCs/>
                <w:sz w:val="24"/>
                <w:szCs w:val="24"/>
                <w:lang w:val="en-US" w:eastAsia="zh-CN"/>
              </w:rPr>
              <w:t>，安全处置企业遗留的固体废物，原厂区无遗留环境问题</w:t>
            </w:r>
            <w:r>
              <w:rPr>
                <w:rFonts w:hint="eastAsia" w:eastAsia="仿宋" w:cs="Times New Roman"/>
                <w:bCs/>
                <w:sz w:val="24"/>
                <w:szCs w:val="24"/>
                <w:lang w:val="en-US" w:eastAsia="zh-CN"/>
              </w:rPr>
              <w:t>。</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宋体" w:hAnsi="宋体"/>
                <w:bCs/>
                <w:szCs w:val="21"/>
                <w:lang w:val="en-US" w:eastAsia="zh-CN"/>
              </w:rPr>
            </w:pPr>
            <w:r>
              <w:rPr>
                <w:rFonts w:hint="eastAsia" w:eastAsia="仿宋" w:cs="Times New Roman"/>
                <w:bCs/>
                <w:sz w:val="24"/>
                <w:szCs w:val="24"/>
                <w:lang w:val="en-US" w:eastAsia="zh-CN"/>
              </w:rPr>
              <w:t>（4）本次评价完善全厂污染物产排情况分析</w:t>
            </w:r>
            <w:r>
              <w:rPr>
                <w:rFonts w:hint="default" w:ascii="Times New Roman" w:hAnsi="Times New Roman" w:eastAsia="仿宋" w:cs="Times New Roman"/>
                <w:bCs/>
                <w:sz w:val="24"/>
                <w:szCs w:val="24"/>
                <w:lang w:val="en-US" w:eastAsia="zh-CN"/>
              </w:rPr>
              <w:t>。</w:t>
            </w:r>
          </w:p>
        </w:tc>
      </w:tr>
    </w:tbl>
    <w:p>
      <w:pPr>
        <w:pStyle w:val="13"/>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3"/>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85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6" w:hRule="atLeast"/>
          <w:jc w:val="center"/>
        </w:trPr>
        <w:tc>
          <w:tcPr>
            <w:tcW w:w="559" w:type="dxa"/>
            <w:noWrap w:val="0"/>
            <w:vAlign w:val="center"/>
          </w:tcPr>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区域</w:t>
            </w:r>
          </w:p>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环境</w:t>
            </w:r>
          </w:p>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质量</w:t>
            </w:r>
          </w:p>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现状</w:t>
            </w:r>
          </w:p>
        </w:tc>
        <w:tc>
          <w:tcPr>
            <w:tcW w:w="8502"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1.环境空气质量现状</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（1）常规因子环境质量现状</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eastAsia="宋体" w:cs="Times New Roman"/>
                <w:color w:val="auto"/>
                <w:highlight w:val="none"/>
              </w:rPr>
            </w:pPr>
            <w:r>
              <w:rPr>
                <w:rFonts w:hint="default" w:ascii="Times New Roman" w:hAnsi="Times New Roman" w:eastAsia="仿宋" w:cs="Times New Roman"/>
                <w:color w:val="auto"/>
                <w:sz w:val="24"/>
                <w:szCs w:val="24"/>
                <w:highlight w:val="none"/>
              </w:rPr>
              <w:t>根据《常州市环境空气质量功能区划分规定（2017）》，项目所在地空气质量功能区为二类区。SO</w:t>
            </w:r>
            <w:r>
              <w:rPr>
                <w:rFonts w:hint="default" w:ascii="Times New Roman" w:hAnsi="Times New Roman" w:eastAsia="仿宋" w:cs="Times New Roman"/>
                <w:color w:val="auto"/>
                <w:sz w:val="24"/>
                <w:szCs w:val="24"/>
                <w:highlight w:val="none"/>
                <w:vertAlign w:val="subscript"/>
              </w:rPr>
              <w:t>2</w:t>
            </w:r>
            <w:r>
              <w:rPr>
                <w:rFonts w:hint="default" w:ascii="Times New Roman" w:hAnsi="Times New Roman" w:eastAsia="仿宋" w:cs="Times New Roman"/>
                <w:color w:val="auto"/>
                <w:sz w:val="24"/>
                <w:szCs w:val="24"/>
                <w:highlight w:val="none"/>
              </w:rPr>
              <w:t>、NO</w:t>
            </w:r>
            <w:r>
              <w:rPr>
                <w:rFonts w:hint="default" w:ascii="Times New Roman" w:hAnsi="Times New Roman" w:eastAsia="仿宋" w:cs="Times New Roman"/>
                <w:color w:val="auto"/>
                <w:sz w:val="24"/>
                <w:szCs w:val="24"/>
                <w:highlight w:val="none"/>
                <w:vertAlign w:val="subscript"/>
              </w:rPr>
              <w:t>2</w:t>
            </w:r>
            <w:r>
              <w:rPr>
                <w:rFonts w:hint="default" w:ascii="Times New Roman" w:hAnsi="Times New Roman" w:eastAsia="仿宋" w:cs="Times New Roman"/>
                <w:color w:val="auto"/>
                <w:sz w:val="24"/>
                <w:szCs w:val="24"/>
                <w:highlight w:val="none"/>
              </w:rPr>
              <w:t>、PM</w:t>
            </w:r>
            <w:r>
              <w:rPr>
                <w:rFonts w:hint="default" w:ascii="Times New Roman" w:hAnsi="Times New Roman" w:eastAsia="仿宋" w:cs="Times New Roman"/>
                <w:color w:val="auto"/>
                <w:sz w:val="24"/>
                <w:szCs w:val="24"/>
                <w:highlight w:val="none"/>
                <w:vertAlign w:val="subscript"/>
              </w:rPr>
              <w:t>10</w:t>
            </w:r>
            <w:r>
              <w:rPr>
                <w:rFonts w:hint="default" w:ascii="Times New Roman" w:hAnsi="Times New Roman" w:eastAsia="仿宋" w:cs="Times New Roman"/>
                <w:color w:val="auto"/>
                <w:sz w:val="24"/>
                <w:szCs w:val="24"/>
                <w:highlight w:val="none"/>
              </w:rPr>
              <w:t>等执行《环境空气质量标准》（GB3095-2012）中二级标准</w:t>
            </w:r>
            <w:r>
              <w:rPr>
                <w:rFonts w:hint="eastAsia"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非甲烷总烃执行《大气污染物综合排放标准详解》中相应标准</w:t>
            </w:r>
            <w:r>
              <w:rPr>
                <w:rFonts w:hint="default" w:ascii="Times New Roman" w:hAnsi="Times New Roman" w:eastAsia="仿宋" w:cs="Times New Roman"/>
                <w:color w:val="auto"/>
                <w:sz w:val="24"/>
                <w:szCs w:val="24"/>
                <w:highlight w:val="none"/>
              </w:rPr>
              <w:t>。标准值见</w:t>
            </w:r>
            <w:r>
              <w:rPr>
                <w:rFonts w:hint="eastAsia" w:ascii="Times New Roman" w:hAnsi="Times New Roman" w:eastAsia="仿宋" w:cs="Times New Roman"/>
                <w:color w:val="auto"/>
                <w:sz w:val="24"/>
                <w:szCs w:val="24"/>
                <w:highlight w:val="none"/>
                <w:lang w:val="en-US" w:eastAsia="zh-CN"/>
              </w:rPr>
              <w:t>下表</w:t>
            </w:r>
            <w:r>
              <w:rPr>
                <w:rFonts w:hint="default" w:ascii="Times New Roman" w:hAnsi="Times New Roman" w:eastAsia="仿宋" w:cs="Times New Roman"/>
                <w:color w:val="auto"/>
                <w:sz w:val="24"/>
                <w:szCs w:val="24"/>
                <w:highlight w:val="none"/>
              </w:rPr>
              <w:t>。</w:t>
            </w:r>
          </w:p>
          <w:p>
            <w:pPr>
              <w:pStyle w:val="41"/>
              <w:spacing w:line="240" w:lineRule="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表</w:t>
            </w:r>
            <w:r>
              <w:rPr>
                <w:rFonts w:hint="default" w:ascii="Times New Roman" w:hAnsi="Times New Roman" w:eastAsia="仿宋" w:cs="Times New Roman"/>
                <w:color w:val="auto"/>
                <w:sz w:val="24"/>
                <w:szCs w:val="24"/>
                <w:highlight w:val="none"/>
                <w:lang w:val="en-US" w:eastAsia="zh-CN"/>
              </w:rPr>
              <w:t>3-1</w:t>
            </w:r>
            <w:r>
              <w:rPr>
                <w:rFonts w:hint="default" w:ascii="Times New Roman" w:hAnsi="Times New Roman" w:eastAsia="仿宋" w:cs="Times New Roman"/>
                <w:color w:val="auto"/>
                <w:sz w:val="24"/>
                <w:szCs w:val="24"/>
                <w:highlight w:val="none"/>
              </w:rPr>
              <w:t>环境空气质量评价标准   单位：μg/m</w:t>
            </w:r>
            <w:r>
              <w:rPr>
                <w:rFonts w:hint="default" w:ascii="Times New Roman" w:hAnsi="Times New Roman" w:eastAsia="仿宋" w:cs="Times New Roman"/>
                <w:color w:val="auto"/>
                <w:sz w:val="24"/>
                <w:szCs w:val="24"/>
                <w:highlight w:val="none"/>
                <w:vertAlign w:val="superscript"/>
              </w:rPr>
              <w:t>3</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Layout w:type="autofit"/>
              <w:tblCellMar>
                <w:top w:w="0" w:type="dxa"/>
                <w:left w:w="0" w:type="dxa"/>
                <w:bottom w:w="0" w:type="dxa"/>
                <w:right w:w="0" w:type="dxa"/>
              </w:tblCellMar>
            </w:tblPr>
            <w:tblGrid>
              <w:gridCol w:w="1208"/>
              <w:gridCol w:w="3280"/>
              <w:gridCol w:w="1550"/>
              <w:gridCol w:w="1192"/>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301" w:hRule="atLeast"/>
              </w:trPr>
              <w:tc>
                <w:tcPr>
                  <w:tcW w:w="725" w:type="pct"/>
                  <w:vMerge w:val="restart"/>
                  <w:tcBorders>
                    <w:tl2br w:val="nil"/>
                    <w:tr2bl w:val="nil"/>
                  </w:tcBorders>
                  <w:noWrap w:val="0"/>
                  <w:vAlign w:val="center"/>
                </w:tcPr>
                <w:p>
                  <w:pPr>
                    <w:pStyle w:val="40"/>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污染物</w:t>
                  </w:r>
                </w:p>
              </w:tc>
              <w:tc>
                <w:tcPr>
                  <w:tcW w:w="4274" w:type="pct"/>
                  <w:gridSpan w:val="4"/>
                  <w:tcBorders>
                    <w:tl2br w:val="nil"/>
                    <w:tr2bl w:val="nil"/>
                  </w:tcBorders>
                  <w:noWrap w:val="0"/>
                  <w:vAlign w:val="center"/>
                </w:tcPr>
                <w:p>
                  <w:pPr>
                    <w:pStyle w:val="40"/>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304" w:hRule="atLeast"/>
              </w:trPr>
              <w:tc>
                <w:tcPr>
                  <w:tcW w:w="725" w:type="pct"/>
                  <w:vMerge w:val="continue"/>
                  <w:tcBorders>
                    <w:tl2br w:val="nil"/>
                    <w:tr2bl w:val="nil"/>
                  </w:tcBorders>
                  <w:noWrap w:val="0"/>
                  <w:vAlign w:val="center"/>
                </w:tcPr>
                <w:p>
                  <w:pPr>
                    <w:pStyle w:val="40"/>
                    <w:rPr>
                      <w:rFonts w:hint="default" w:ascii="Times New Roman" w:hAnsi="Times New Roman" w:eastAsia="仿宋" w:cs="Times New Roman"/>
                      <w:b/>
                      <w:bCs/>
                      <w:color w:val="auto"/>
                      <w:sz w:val="21"/>
                      <w:szCs w:val="21"/>
                      <w:highlight w:val="none"/>
                      <w:lang w:val="zh-CN"/>
                    </w:rPr>
                  </w:pPr>
                </w:p>
              </w:tc>
              <w:tc>
                <w:tcPr>
                  <w:tcW w:w="1968" w:type="pct"/>
                  <w:tcBorders>
                    <w:tl2br w:val="nil"/>
                    <w:tr2bl w:val="nil"/>
                  </w:tcBorders>
                  <w:noWrap w:val="0"/>
                  <w:vAlign w:val="center"/>
                </w:tcPr>
                <w:p>
                  <w:pPr>
                    <w:pStyle w:val="40"/>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来源及分级</w:t>
                  </w:r>
                </w:p>
              </w:tc>
              <w:tc>
                <w:tcPr>
                  <w:tcW w:w="930" w:type="pct"/>
                  <w:tcBorders>
                    <w:tl2br w:val="nil"/>
                    <w:tr2bl w:val="nil"/>
                  </w:tcBorders>
                  <w:noWrap w:val="0"/>
                  <w:vAlign w:val="center"/>
                </w:tcPr>
                <w:p>
                  <w:pPr>
                    <w:pStyle w:val="40"/>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小时平均浓度</w:t>
                  </w:r>
                </w:p>
              </w:tc>
              <w:tc>
                <w:tcPr>
                  <w:tcW w:w="715" w:type="pct"/>
                  <w:tcBorders>
                    <w:tl2br w:val="nil"/>
                    <w:tr2bl w:val="nil"/>
                  </w:tcBorders>
                  <w:noWrap w:val="0"/>
                  <w:vAlign w:val="center"/>
                </w:tcPr>
                <w:p>
                  <w:pPr>
                    <w:pStyle w:val="40"/>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日均浓度</w:t>
                  </w:r>
                </w:p>
              </w:tc>
              <w:tc>
                <w:tcPr>
                  <w:tcW w:w="660" w:type="pct"/>
                  <w:tcBorders>
                    <w:tl2br w:val="nil"/>
                    <w:tr2bl w:val="nil"/>
                  </w:tcBorders>
                  <w:noWrap w:val="0"/>
                  <w:vAlign w:val="center"/>
                </w:tcPr>
                <w:p>
                  <w:pPr>
                    <w:pStyle w:val="40"/>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年均浓度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304" w:hRule="atLeast"/>
              </w:trPr>
              <w:tc>
                <w:tcPr>
                  <w:tcW w:w="725"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SO</w:t>
                  </w:r>
                  <w:r>
                    <w:rPr>
                      <w:rFonts w:hint="default" w:ascii="Times New Roman" w:hAnsi="Times New Roman" w:eastAsia="仿宋" w:cs="Times New Roman"/>
                      <w:color w:val="auto"/>
                      <w:sz w:val="21"/>
                      <w:szCs w:val="21"/>
                      <w:highlight w:val="none"/>
                      <w:vertAlign w:val="subscript"/>
                      <w:lang w:val="zh-CN"/>
                    </w:rPr>
                    <w:t>2</w:t>
                  </w:r>
                </w:p>
              </w:tc>
              <w:tc>
                <w:tcPr>
                  <w:tcW w:w="1968" w:type="pct"/>
                  <w:vMerge w:val="restar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《环境空气质量标准》</w:t>
                  </w:r>
                </w:p>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（GB3095-2012）表1、表2中二级标准</w:t>
                  </w:r>
                </w:p>
              </w:tc>
              <w:tc>
                <w:tcPr>
                  <w:tcW w:w="93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500</w:t>
                  </w:r>
                </w:p>
              </w:tc>
              <w:tc>
                <w:tcPr>
                  <w:tcW w:w="715"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150</w:t>
                  </w:r>
                </w:p>
              </w:tc>
              <w:tc>
                <w:tcPr>
                  <w:tcW w:w="66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304" w:hRule="atLeast"/>
              </w:trPr>
              <w:tc>
                <w:tcPr>
                  <w:tcW w:w="725"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NO</w:t>
                  </w:r>
                  <w:r>
                    <w:rPr>
                      <w:rFonts w:hint="default" w:ascii="Times New Roman" w:hAnsi="Times New Roman" w:eastAsia="仿宋" w:cs="Times New Roman"/>
                      <w:color w:val="auto"/>
                      <w:sz w:val="21"/>
                      <w:szCs w:val="21"/>
                      <w:highlight w:val="none"/>
                      <w:vertAlign w:val="subscript"/>
                      <w:lang w:val="zh-CN"/>
                    </w:rPr>
                    <w:t>2</w:t>
                  </w:r>
                </w:p>
              </w:tc>
              <w:tc>
                <w:tcPr>
                  <w:tcW w:w="1968" w:type="pct"/>
                  <w:vMerge w:val="continue"/>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p>
              </w:tc>
              <w:tc>
                <w:tcPr>
                  <w:tcW w:w="93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200</w:t>
                  </w:r>
                </w:p>
              </w:tc>
              <w:tc>
                <w:tcPr>
                  <w:tcW w:w="715"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80</w:t>
                  </w:r>
                </w:p>
              </w:tc>
              <w:tc>
                <w:tcPr>
                  <w:tcW w:w="66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304" w:hRule="atLeast"/>
              </w:trPr>
              <w:tc>
                <w:tcPr>
                  <w:tcW w:w="725"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PM</w:t>
                  </w:r>
                  <w:r>
                    <w:rPr>
                      <w:rFonts w:hint="default" w:ascii="Times New Roman" w:hAnsi="Times New Roman" w:eastAsia="仿宋" w:cs="Times New Roman"/>
                      <w:color w:val="auto"/>
                      <w:sz w:val="21"/>
                      <w:szCs w:val="21"/>
                      <w:highlight w:val="none"/>
                      <w:vertAlign w:val="subscript"/>
                      <w:lang w:val="zh-CN"/>
                    </w:rPr>
                    <w:t>10</w:t>
                  </w:r>
                </w:p>
              </w:tc>
              <w:tc>
                <w:tcPr>
                  <w:tcW w:w="1968" w:type="pct"/>
                  <w:vMerge w:val="continue"/>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p>
              </w:tc>
              <w:tc>
                <w:tcPr>
                  <w:tcW w:w="93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w:t>
                  </w:r>
                </w:p>
              </w:tc>
              <w:tc>
                <w:tcPr>
                  <w:tcW w:w="715"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150</w:t>
                  </w:r>
                </w:p>
              </w:tc>
              <w:tc>
                <w:tcPr>
                  <w:tcW w:w="66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304" w:hRule="atLeast"/>
              </w:trPr>
              <w:tc>
                <w:tcPr>
                  <w:tcW w:w="725"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CO</w:t>
                  </w:r>
                </w:p>
              </w:tc>
              <w:tc>
                <w:tcPr>
                  <w:tcW w:w="1968" w:type="pct"/>
                  <w:vMerge w:val="continue"/>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p>
              </w:tc>
              <w:tc>
                <w:tcPr>
                  <w:tcW w:w="93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10000</w:t>
                  </w:r>
                </w:p>
              </w:tc>
              <w:tc>
                <w:tcPr>
                  <w:tcW w:w="715"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4000</w:t>
                  </w:r>
                </w:p>
              </w:tc>
              <w:tc>
                <w:tcPr>
                  <w:tcW w:w="66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301" w:hRule="atLeast"/>
              </w:trPr>
              <w:tc>
                <w:tcPr>
                  <w:tcW w:w="725"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O</w:t>
                  </w:r>
                  <w:r>
                    <w:rPr>
                      <w:rFonts w:hint="default" w:ascii="Times New Roman" w:hAnsi="Times New Roman" w:eastAsia="仿宋" w:cs="Times New Roman"/>
                      <w:color w:val="auto"/>
                      <w:sz w:val="21"/>
                      <w:szCs w:val="21"/>
                      <w:highlight w:val="none"/>
                      <w:vertAlign w:val="subscript"/>
                      <w:lang w:val="zh-CN"/>
                    </w:rPr>
                    <w:t>3</w:t>
                  </w:r>
                </w:p>
              </w:tc>
              <w:tc>
                <w:tcPr>
                  <w:tcW w:w="1968" w:type="pct"/>
                  <w:vMerge w:val="continue"/>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p>
              </w:tc>
              <w:tc>
                <w:tcPr>
                  <w:tcW w:w="93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200</w:t>
                  </w:r>
                </w:p>
              </w:tc>
              <w:tc>
                <w:tcPr>
                  <w:tcW w:w="715"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160</w:t>
                  </w:r>
                </w:p>
              </w:tc>
              <w:tc>
                <w:tcPr>
                  <w:tcW w:w="66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321" w:hRule="atLeast"/>
              </w:trPr>
              <w:tc>
                <w:tcPr>
                  <w:tcW w:w="725"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PM</w:t>
                  </w:r>
                  <w:r>
                    <w:rPr>
                      <w:rFonts w:hint="default" w:ascii="Times New Roman" w:hAnsi="Times New Roman" w:eastAsia="仿宋" w:cs="Times New Roman"/>
                      <w:color w:val="auto"/>
                      <w:sz w:val="21"/>
                      <w:szCs w:val="21"/>
                      <w:highlight w:val="none"/>
                      <w:vertAlign w:val="subscript"/>
                      <w:lang w:val="zh-CN"/>
                    </w:rPr>
                    <w:t>2.5</w:t>
                  </w:r>
                </w:p>
              </w:tc>
              <w:tc>
                <w:tcPr>
                  <w:tcW w:w="1968" w:type="pct"/>
                  <w:vMerge w:val="continue"/>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p>
              </w:tc>
              <w:tc>
                <w:tcPr>
                  <w:tcW w:w="93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w:t>
                  </w:r>
                </w:p>
              </w:tc>
              <w:tc>
                <w:tcPr>
                  <w:tcW w:w="715"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75</w:t>
                  </w:r>
                </w:p>
              </w:tc>
              <w:tc>
                <w:tcPr>
                  <w:tcW w:w="66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321" w:hRule="atLeast"/>
              </w:trPr>
              <w:tc>
                <w:tcPr>
                  <w:tcW w:w="1137" w:type="dxa"/>
                  <w:tcBorders>
                    <w:tl2br w:val="nil"/>
                    <w:tr2bl w:val="nil"/>
                  </w:tcBorders>
                  <w:noWrap w:val="0"/>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非甲烷总烃</w:t>
                  </w:r>
                </w:p>
              </w:tc>
              <w:tc>
                <w:tcPr>
                  <w:tcW w:w="3086" w:type="dxa"/>
                  <w:tcBorders>
                    <w:tl2br w:val="nil"/>
                    <w:tr2bl w:val="nil"/>
                  </w:tcBorders>
                  <w:noWrap w:val="0"/>
                  <w:vAlign w:val="center"/>
                </w:tcPr>
                <w:p>
                  <w:pPr>
                    <w:pStyle w:val="40"/>
                    <w:ind w:firstLine="0" w:firstLineChars="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《大气污染物综合排放标准详解》</w:t>
                  </w:r>
                </w:p>
              </w:tc>
              <w:tc>
                <w:tcPr>
                  <w:tcW w:w="93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r>
                    <w:rPr>
                      <w:rFonts w:hint="eastAsia" w:eastAsia="仿宋" w:cs="Times New Roman"/>
                      <w:color w:val="auto"/>
                      <w:sz w:val="21"/>
                      <w:szCs w:val="21"/>
                      <w:highlight w:val="none"/>
                      <w:lang w:val="en-US" w:eastAsia="zh-CN"/>
                    </w:rPr>
                    <w:t>00</w:t>
                  </w:r>
                </w:p>
              </w:tc>
              <w:tc>
                <w:tcPr>
                  <w:tcW w:w="715"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660" w:type="pct"/>
                  <w:tcBorders>
                    <w:tl2br w:val="nil"/>
                    <w:tr2bl w:val="nil"/>
                  </w:tcBorders>
                  <w:noWrap w:val="0"/>
                  <w:vAlign w:val="center"/>
                </w:tcPr>
                <w:p>
                  <w:pPr>
                    <w:pStyle w:val="4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根据《环境影响评价技术导则 大气环境》（HJ2.2-2018），项目所在区域达标情况判定优先采用国家或地方生态环境主管部门公开发布的环境质量报告或环境质量报告书中的数据或结论。</w:t>
            </w:r>
          </w:p>
          <w:p>
            <w:pPr>
              <w:numPr>
                <w:ilvl w:val="0"/>
                <w:numId w:val="0"/>
              </w:numPr>
              <w:autoSpaceDE w:val="0"/>
              <w:autoSpaceDN w:val="0"/>
              <w:spacing w:line="440" w:lineRule="exact"/>
              <w:ind w:firstLine="480" w:firstLineChars="200"/>
              <w:jc w:val="both"/>
              <w:rPr>
                <w:rFonts w:hint="default" w:ascii="Times New Roman" w:hAnsi="Times New Roman" w:eastAsia="仿宋" w:cs="Times New Roman"/>
                <w:kern w:val="0"/>
                <w:sz w:val="24"/>
                <w:szCs w:val="24"/>
                <w:lang w:eastAsia="zh-CN"/>
              </w:rPr>
            </w:pPr>
            <w:r>
              <w:rPr>
                <w:rFonts w:hint="default" w:ascii="Times New Roman" w:hAnsi="Times New Roman" w:eastAsia="仿宋" w:cs="Times New Roman"/>
                <w:kern w:val="0"/>
                <w:sz w:val="24"/>
                <w:szCs w:val="24"/>
                <w:lang w:eastAsia="zh-CN"/>
              </w:rPr>
              <w:t>本次评价选取20</w:t>
            </w:r>
            <w:r>
              <w:rPr>
                <w:rFonts w:hint="default" w:ascii="Times New Roman" w:hAnsi="Times New Roman" w:eastAsia="仿宋" w:cs="Times New Roman"/>
                <w:kern w:val="0"/>
                <w:sz w:val="24"/>
                <w:szCs w:val="24"/>
                <w:lang w:val="en-US" w:eastAsia="zh-CN"/>
              </w:rPr>
              <w:t>20</w:t>
            </w:r>
            <w:r>
              <w:rPr>
                <w:rFonts w:hint="default" w:ascii="Times New Roman" w:hAnsi="Times New Roman" w:eastAsia="仿宋" w:cs="Times New Roman"/>
                <w:kern w:val="0"/>
                <w:sz w:val="24"/>
                <w:szCs w:val="24"/>
                <w:lang w:eastAsia="zh-CN"/>
              </w:rPr>
              <w:t>年作为评价基准年，根据《20</w:t>
            </w:r>
            <w:r>
              <w:rPr>
                <w:rFonts w:hint="default" w:ascii="Times New Roman" w:hAnsi="Times New Roman" w:eastAsia="仿宋" w:cs="Times New Roman"/>
                <w:kern w:val="0"/>
                <w:sz w:val="24"/>
                <w:szCs w:val="24"/>
                <w:lang w:val="en-US" w:eastAsia="zh-CN"/>
              </w:rPr>
              <w:t>20</w:t>
            </w:r>
            <w:r>
              <w:rPr>
                <w:rFonts w:hint="default" w:ascii="Times New Roman" w:hAnsi="Times New Roman" w:eastAsia="仿宋" w:cs="Times New Roman"/>
                <w:kern w:val="0"/>
                <w:sz w:val="24"/>
                <w:szCs w:val="24"/>
                <w:lang w:eastAsia="zh-CN"/>
              </w:rPr>
              <w:t>年度常州市生态环境状况公报》，项目所在区域常州市各评价因子数据见表3-</w:t>
            </w:r>
            <w:r>
              <w:rPr>
                <w:rFonts w:hint="default" w:ascii="Times New Roman" w:hAnsi="Times New Roman" w:eastAsia="仿宋" w:cs="Times New Roman"/>
                <w:kern w:val="0"/>
                <w:sz w:val="24"/>
                <w:szCs w:val="24"/>
                <w:lang w:val="en-US" w:eastAsia="zh-CN"/>
              </w:rPr>
              <w:t>2</w:t>
            </w:r>
            <w:r>
              <w:rPr>
                <w:rFonts w:hint="default" w:ascii="Times New Roman" w:hAnsi="Times New Roman" w:eastAsia="仿宋" w:cs="Times New Roman"/>
                <w:kern w:val="0"/>
                <w:sz w:val="24"/>
                <w:szCs w:val="24"/>
                <w:lang w:eastAsia="zh-CN"/>
              </w:rPr>
              <w:t>。</w:t>
            </w:r>
          </w:p>
          <w:p>
            <w:pPr>
              <w:pStyle w:val="41"/>
              <w:rPr>
                <w:rFonts w:hint="default" w:ascii="Times New Roman" w:hAnsi="Times New Roman" w:eastAsia="仿宋" w:cs="Times New Roman"/>
                <w:b/>
                <w:color w:val="auto"/>
                <w:sz w:val="24"/>
                <w:szCs w:val="24"/>
                <w:highlight w:val="none"/>
                <w:lang w:eastAsia="zh-CN"/>
              </w:rPr>
            </w:pPr>
            <w:r>
              <w:rPr>
                <w:rFonts w:hint="default" w:ascii="Times New Roman" w:hAnsi="Times New Roman" w:eastAsia="仿宋" w:cs="Times New Roman"/>
                <w:b/>
                <w:color w:val="auto"/>
                <w:sz w:val="24"/>
                <w:szCs w:val="24"/>
                <w:highlight w:val="none"/>
                <w:lang w:eastAsia="zh-CN"/>
              </w:rPr>
              <w:t>表3-</w:t>
            </w:r>
            <w:r>
              <w:rPr>
                <w:rFonts w:hint="default" w:ascii="Times New Roman" w:hAnsi="Times New Roman" w:eastAsia="仿宋" w:cs="Times New Roman"/>
                <w:b/>
                <w:color w:val="auto"/>
                <w:sz w:val="24"/>
                <w:szCs w:val="24"/>
                <w:highlight w:val="none"/>
                <w:lang w:val="en-US" w:eastAsia="zh-CN"/>
              </w:rPr>
              <w:t>2</w:t>
            </w:r>
            <w:r>
              <w:rPr>
                <w:rFonts w:hint="default" w:ascii="Times New Roman" w:hAnsi="Times New Roman" w:eastAsia="仿宋" w:cs="Times New Roman"/>
                <w:b/>
                <w:color w:val="auto"/>
                <w:sz w:val="24"/>
                <w:szCs w:val="24"/>
                <w:highlight w:val="none"/>
                <w:lang w:eastAsia="zh-CN"/>
              </w:rPr>
              <w:t xml:space="preserve"> 大气基本污染物环境质量现状</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897"/>
              <w:gridCol w:w="2458"/>
              <w:gridCol w:w="1217"/>
              <w:gridCol w:w="1229"/>
              <w:gridCol w:w="859"/>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vAlign w:val="center"/>
                </w:tcPr>
                <w:p>
                  <w:pPr>
                    <w:snapToGrid w:val="0"/>
                    <w:spacing w:line="240" w:lineRule="auto"/>
                    <w:ind w:firstLine="0" w:firstLineChars="0"/>
                    <w:jc w:val="left"/>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区域</w:t>
                  </w:r>
                </w:p>
              </w:tc>
              <w:tc>
                <w:tcPr>
                  <w:tcW w:w="538" w:type="pct"/>
                  <w:vAlign w:val="center"/>
                </w:tcPr>
                <w:p>
                  <w:pPr>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评价因子</w:t>
                  </w:r>
                </w:p>
              </w:tc>
              <w:tc>
                <w:tcPr>
                  <w:tcW w:w="1474" w:type="pct"/>
                  <w:vAlign w:val="center"/>
                </w:tcPr>
                <w:p>
                  <w:pPr>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平均时段</w:t>
                  </w:r>
                </w:p>
              </w:tc>
              <w:tc>
                <w:tcPr>
                  <w:tcW w:w="730" w:type="pct"/>
                  <w:vAlign w:val="center"/>
                </w:tcPr>
                <w:p>
                  <w:pPr>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现状浓度</w:t>
                  </w:r>
                </w:p>
                <w:p>
                  <w:pPr>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（μg/m</w:t>
                  </w:r>
                  <w:r>
                    <w:rPr>
                      <w:rFonts w:hint="default" w:ascii="Times New Roman" w:hAnsi="Times New Roman" w:eastAsia="仿宋" w:cs="Times New Roman"/>
                      <w:b/>
                      <w:bCs/>
                      <w:color w:val="auto"/>
                      <w:sz w:val="21"/>
                      <w:szCs w:val="21"/>
                      <w:vertAlign w:val="superscript"/>
                    </w:rPr>
                    <w:t>3</w:t>
                  </w:r>
                  <w:r>
                    <w:rPr>
                      <w:rFonts w:hint="default" w:ascii="Times New Roman" w:hAnsi="Times New Roman" w:eastAsia="仿宋" w:cs="Times New Roman"/>
                      <w:b/>
                      <w:bCs/>
                      <w:color w:val="auto"/>
                      <w:sz w:val="21"/>
                      <w:szCs w:val="21"/>
                    </w:rPr>
                    <w:t>）</w:t>
                  </w:r>
                </w:p>
              </w:tc>
              <w:tc>
                <w:tcPr>
                  <w:tcW w:w="737" w:type="pct"/>
                  <w:vAlign w:val="center"/>
                </w:tcPr>
                <w:p>
                  <w:pPr>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标准值</w:t>
                  </w:r>
                </w:p>
                <w:p>
                  <w:pPr>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（μg/m</w:t>
                  </w:r>
                  <w:r>
                    <w:rPr>
                      <w:rFonts w:hint="default" w:ascii="Times New Roman" w:hAnsi="Times New Roman" w:eastAsia="仿宋" w:cs="Times New Roman"/>
                      <w:b/>
                      <w:bCs/>
                      <w:color w:val="auto"/>
                      <w:sz w:val="21"/>
                      <w:szCs w:val="21"/>
                      <w:vertAlign w:val="superscript"/>
                    </w:rPr>
                    <w:t>3</w:t>
                  </w:r>
                  <w:r>
                    <w:rPr>
                      <w:rFonts w:hint="default" w:ascii="Times New Roman" w:hAnsi="Times New Roman" w:eastAsia="仿宋" w:cs="Times New Roman"/>
                      <w:b/>
                      <w:bCs/>
                      <w:color w:val="auto"/>
                      <w:sz w:val="21"/>
                      <w:szCs w:val="21"/>
                    </w:rPr>
                    <w:t>）</w:t>
                  </w:r>
                </w:p>
              </w:tc>
              <w:tc>
                <w:tcPr>
                  <w:tcW w:w="515" w:type="pct"/>
                  <w:vAlign w:val="center"/>
                </w:tcPr>
                <w:p>
                  <w:pPr>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超标倍数</w:t>
                  </w:r>
                </w:p>
              </w:tc>
              <w:tc>
                <w:tcPr>
                  <w:tcW w:w="571" w:type="pct"/>
                  <w:vAlign w:val="center"/>
                </w:tcPr>
                <w:p>
                  <w:pPr>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vMerge w:val="restart"/>
                  <w:vAlign w:val="center"/>
                </w:tcPr>
                <w:p>
                  <w:pPr>
                    <w:snapToGrid w:val="0"/>
                    <w:spacing w:line="240" w:lineRule="auto"/>
                    <w:ind w:firstLine="0" w:firstLineChars="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常州</w:t>
                  </w:r>
                  <w:r>
                    <w:rPr>
                      <w:rFonts w:hint="default" w:ascii="Times New Roman" w:hAnsi="Times New Roman" w:eastAsia="仿宋" w:cs="Times New Roman"/>
                      <w:color w:val="auto"/>
                      <w:sz w:val="21"/>
                      <w:szCs w:val="21"/>
                      <w:lang w:val="en-US" w:eastAsia="zh-CN"/>
                    </w:rPr>
                    <w:t>全</w:t>
                  </w:r>
                  <w:r>
                    <w:rPr>
                      <w:rFonts w:hint="default" w:ascii="Times New Roman" w:hAnsi="Times New Roman" w:eastAsia="仿宋" w:cs="Times New Roman"/>
                      <w:color w:val="auto"/>
                      <w:sz w:val="21"/>
                      <w:szCs w:val="21"/>
                    </w:rPr>
                    <w:t>市</w:t>
                  </w:r>
                </w:p>
              </w:tc>
              <w:tc>
                <w:tcPr>
                  <w:tcW w:w="538"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SO</w:t>
                  </w:r>
                  <w:r>
                    <w:rPr>
                      <w:rFonts w:hint="default" w:ascii="Times New Roman" w:hAnsi="Times New Roman" w:eastAsia="仿宋" w:cs="Times New Roman"/>
                      <w:color w:val="auto"/>
                      <w:sz w:val="21"/>
                      <w:szCs w:val="21"/>
                      <w:vertAlign w:val="subscript"/>
                    </w:rPr>
                    <w:t>2</w:t>
                  </w:r>
                </w:p>
              </w:tc>
              <w:tc>
                <w:tcPr>
                  <w:tcW w:w="1474"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年平均浓度</w:t>
                  </w:r>
                </w:p>
              </w:tc>
              <w:tc>
                <w:tcPr>
                  <w:tcW w:w="730"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9</w:t>
                  </w:r>
                </w:p>
              </w:tc>
              <w:tc>
                <w:tcPr>
                  <w:tcW w:w="737"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60</w:t>
                  </w:r>
                </w:p>
              </w:tc>
              <w:tc>
                <w:tcPr>
                  <w:tcW w:w="515"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571"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vMerge w:val="continue"/>
                  <w:vAlign w:val="center"/>
                </w:tcPr>
                <w:p>
                  <w:pPr>
                    <w:snapToGrid w:val="0"/>
                    <w:spacing w:line="240" w:lineRule="auto"/>
                    <w:ind w:firstLine="0" w:firstLineChars="0"/>
                    <w:jc w:val="left"/>
                    <w:rPr>
                      <w:rFonts w:hint="default" w:ascii="Times New Roman" w:hAnsi="Times New Roman" w:eastAsia="仿宋" w:cs="Times New Roman"/>
                      <w:color w:val="auto"/>
                      <w:sz w:val="21"/>
                      <w:szCs w:val="21"/>
                    </w:rPr>
                  </w:pPr>
                </w:p>
              </w:tc>
              <w:tc>
                <w:tcPr>
                  <w:tcW w:w="538"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NO</w:t>
                  </w:r>
                  <w:r>
                    <w:rPr>
                      <w:rFonts w:hint="default" w:ascii="Times New Roman" w:hAnsi="Times New Roman" w:eastAsia="仿宋" w:cs="Times New Roman"/>
                      <w:color w:val="auto"/>
                      <w:sz w:val="21"/>
                      <w:szCs w:val="21"/>
                      <w:vertAlign w:val="subscript"/>
                    </w:rPr>
                    <w:t>2</w:t>
                  </w:r>
                </w:p>
              </w:tc>
              <w:tc>
                <w:tcPr>
                  <w:tcW w:w="1474"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年平均浓度</w:t>
                  </w:r>
                </w:p>
              </w:tc>
              <w:tc>
                <w:tcPr>
                  <w:tcW w:w="730"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35</w:t>
                  </w:r>
                </w:p>
              </w:tc>
              <w:tc>
                <w:tcPr>
                  <w:tcW w:w="737"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w:t>
                  </w:r>
                </w:p>
              </w:tc>
              <w:tc>
                <w:tcPr>
                  <w:tcW w:w="515"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571"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vMerge w:val="continue"/>
                  <w:vAlign w:val="center"/>
                </w:tcPr>
                <w:p>
                  <w:pPr>
                    <w:snapToGrid w:val="0"/>
                    <w:spacing w:line="240" w:lineRule="auto"/>
                    <w:ind w:firstLine="0" w:firstLineChars="0"/>
                    <w:jc w:val="left"/>
                    <w:rPr>
                      <w:rFonts w:hint="default" w:ascii="Times New Roman" w:hAnsi="Times New Roman" w:eastAsia="仿宋" w:cs="Times New Roman"/>
                      <w:color w:val="auto"/>
                      <w:sz w:val="21"/>
                      <w:szCs w:val="21"/>
                    </w:rPr>
                  </w:pPr>
                </w:p>
              </w:tc>
              <w:tc>
                <w:tcPr>
                  <w:tcW w:w="538"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PM</w:t>
                  </w:r>
                  <w:r>
                    <w:rPr>
                      <w:rFonts w:hint="default" w:ascii="Times New Roman" w:hAnsi="Times New Roman" w:eastAsia="仿宋" w:cs="Times New Roman"/>
                      <w:color w:val="auto"/>
                      <w:sz w:val="21"/>
                      <w:szCs w:val="21"/>
                      <w:vertAlign w:val="subscript"/>
                    </w:rPr>
                    <w:t>10</w:t>
                  </w:r>
                </w:p>
              </w:tc>
              <w:tc>
                <w:tcPr>
                  <w:tcW w:w="1474"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年平均浓度</w:t>
                  </w:r>
                </w:p>
              </w:tc>
              <w:tc>
                <w:tcPr>
                  <w:tcW w:w="730"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61</w:t>
                  </w:r>
                </w:p>
              </w:tc>
              <w:tc>
                <w:tcPr>
                  <w:tcW w:w="737"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70</w:t>
                  </w:r>
                </w:p>
              </w:tc>
              <w:tc>
                <w:tcPr>
                  <w:tcW w:w="515"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571"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vMerge w:val="continue"/>
                  <w:vAlign w:val="center"/>
                </w:tcPr>
                <w:p>
                  <w:pPr>
                    <w:snapToGrid w:val="0"/>
                    <w:spacing w:line="240" w:lineRule="auto"/>
                    <w:ind w:firstLine="0" w:firstLineChars="0"/>
                    <w:jc w:val="left"/>
                    <w:rPr>
                      <w:rFonts w:hint="default" w:ascii="Times New Roman" w:hAnsi="Times New Roman" w:eastAsia="仿宋" w:cs="Times New Roman"/>
                      <w:color w:val="auto"/>
                      <w:sz w:val="21"/>
                      <w:szCs w:val="21"/>
                    </w:rPr>
                  </w:pPr>
                </w:p>
              </w:tc>
              <w:tc>
                <w:tcPr>
                  <w:tcW w:w="538"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PM</w:t>
                  </w:r>
                  <w:r>
                    <w:rPr>
                      <w:rFonts w:hint="default" w:ascii="Times New Roman" w:hAnsi="Times New Roman" w:eastAsia="仿宋" w:cs="Times New Roman"/>
                      <w:color w:val="auto"/>
                      <w:sz w:val="21"/>
                      <w:szCs w:val="21"/>
                      <w:vertAlign w:val="subscript"/>
                    </w:rPr>
                    <w:t>2.5</w:t>
                  </w:r>
                </w:p>
              </w:tc>
              <w:tc>
                <w:tcPr>
                  <w:tcW w:w="1474"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年平均浓度</w:t>
                  </w:r>
                </w:p>
              </w:tc>
              <w:tc>
                <w:tcPr>
                  <w:tcW w:w="730"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39</w:t>
                  </w:r>
                </w:p>
              </w:tc>
              <w:tc>
                <w:tcPr>
                  <w:tcW w:w="737"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35</w:t>
                  </w:r>
                </w:p>
              </w:tc>
              <w:tc>
                <w:tcPr>
                  <w:tcW w:w="515"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0.114</w:t>
                  </w:r>
                </w:p>
              </w:tc>
              <w:tc>
                <w:tcPr>
                  <w:tcW w:w="571"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vMerge w:val="continue"/>
                  <w:vAlign w:val="center"/>
                </w:tcPr>
                <w:p>
                  <w:pPr>
                    <w:snapToGrid w:val="0"/>
                    <w:spacing w:line="240" w:lineRule="auto"/>
                    <w:ind w:firstLine="0" w:firstLineChars="0"/>
                    <w:jc w:val="left"/>
                    <w:rPr>
                      <w:rFonts w:hint="default" w:ascii="Times New Roman" w:hAnsi="Times New Roman" w:eastAsia="仿宋" w:cs="Times New Roman"/>
                      <w:color w:val="auto"/>
                      <w:sz w:val="21"/>
                      <w:szCs w:val="21"/>
                    </w:rPr>
                  </w:pPr>
                </w:p>
              </w:tc>
              <w:tc>
                <w:tcPr>
                  <w:tcW w:w="538"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w:t>
                  </w:r>
                </w:p>
              </w:tc>
              <w:tc>
                <w:tcPr>
                  <w:tcW w:w="1474"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24小时平均第95百分位</w:t>
                  </w:r>
                </w:p>
              </w:tc>
              <w:tc>
                <w:tcPr>
                  <w:tcW w:w="730"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1200</w:t>
                  </w:r>
                </w:p>
              </w:tc>
              <w:tc>
                <w:tcPr>
                  <w:tcW w:w="737"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4000</w:t>
                  </w:r>
                </w:p>
              </w:tc>
              <w:tc>
                <w:tcPr>
                  <w:tcW w:w="515"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571"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vMerge w:val="continue"/>
                  <w:vAlign w:val="center"/>
                </w:tcPr>
                <w:p>
                  <w:pPr>
                    <w:snapToGrid w:val="0"/>
                    <w:spacing w:line="240" w:lineRule="auto"/>
                    <w:ind w:firstLine="0" w:firstLineChars="0"/>
                    <w:jc w:val="left"/>
                    <w:rPr>
                      <w:rFonts w:hint="default" w:ascii="Times New Roman" w:hAnsi="Times New Roman" w:eastAsia="仿宋" w:cs="Times New Roman"/>
                      <w:color w:val="auto"/>
                      <w:sz w:val="21"/>
                      <w:szCs w:val="21"/>
                    </w:rPr>
                  </w:pPr>
                </w:p>
              </w:tc>
              <w:tc>
                <w:tcPr>
                  <w:tcW w:w="538"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O</w:t>
                  </w:r>
                  <w:r>
                    <w:rPr>
                      <w:rFonts w:hint="default" w:ascii="Times New Roman" w:hAnsi="Times New Roman" w:eastAsia="仿宋" w:cs="Times New Roman"/>
                      <w:color w:val="auto"/>
                      <w:sz w:val="21"/>
                      <w:szCs w:val="21"/>
                      <w:vertAlign w:val="subscript"/>
                    </w:rPr>
                    <w:t>3</w:t>
                  </w:r>
                </w:p>
              </w:tc>
              <w:tc>
                <w:tcPr>
                  <w:tcW w:w="1474"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日最大8h滑动平均值第90百分位数</w:t>
                  </w:r>
                </w:p>
              </w:tc>
              <w:tc>
                <w:tcPr>
                  <w:tcW w:w="730"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16</w:t>
                  </w:r>
                  <w:r>
                    <w:rPr>
                      <w:rFonts w:hint="default" w:ascii="Times New Roman" w:hAnsi="Times New Roman" w:eastAsia="仿宋" w:cs="Times New Roman"/>
                      <w:color w:val="auto"/>
                      <w:sz w:val="21"/>
                      <w:szCs w:val="21"/>
                      <w:lang w:val="en-US" w:eastAsia="zh-CN"/>
                    </w:rPr>
                    <w:t>7</w:t>
                  </w:r>
                </w:p>
              </w:tc>
              <w:tc>
                <w:tcPr>
                  <w:tcW w:w="737"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160</w:t>
                  </w:r>
                </w:p>
              </w:tc>
              <w:tc>
                <w:tcPr>
                  <w:tcW w:w="515"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0.043</w:t>
                  </w:r>
                  <w:r>
                    <w:rPr>
                      <w:rFonts w:hint="default" w:ascii="Times New Roman" w:hAnsi="Times New Roman" w:eastAsia="仿宋" w:cs="Times New Roman"/>
                      <w:color w:val="auto"/>
                      <w:sz w:val="21"/>
                      <w:szCs w:val="21"/>
                      <w:lang w:val="en-US" w:eastAsia="zh-CN"/>
                    </w:rPr>
                    <w:t>8</w:t>
                  </w:r>
                </w:p>
              </w:tc>
              <w:tc>
                <w:tcPr>
                  <w:tcW w:w="571" w:type="pct"/>
                  <w:vAlign w:val="center"/>
                </w:tcPr>
                <w:p>
                  <w:pPr>
                    <w:snapToGrid w:val="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超标</w:t>
                  </w:r>
                </w:p>
              </w:tc>
            </w:tr>
          </w:tbl>
          <w:p>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80" w:firstLineChars="0"/>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color w:val="auto"/>
                <w:sz w:val="24"/>
                <w:szCs w:val="32"/>
                <w:lang w:eastAsia="zh-CN"/>
              </w:rPr>
              <w:t>20</w:t>
            </w:r>
            <w:r>
              <w:rPr>
                <w:rFonts w:hint="default" w:ascii="Times New Roman" w:hAnsi="Times New Roman" w:eastAsia="仿宋" w:cs="Times New Roman"/>
                <w:color w:val="auto"/>
                <w:sz w:val="24"/>
                <w:szCs w:val="32"/>
                <w:lang w:val="en-US" w:eastAsia="zh-CN"/>
              </w:rPr>
              <w:t>20</w:t>
            </w:r>
            <w:r>
              <w:rPr>
                <w:rFonts w:hint="default" w:ascii="Times New Roman" w:hAnsi="Times New Roman" w:eastAsia="仿宋" w:cs="Times New Roman"/>
                <w:color w:val="auto"/>
                <w:sz w:val="24"/>
                <w:szCs w:val="32"/>
                <w:lang w:eastAsia="zh-CN"/>
              </w:rPr>
              <w:t>年常州市环境空气中二氧化硫、二氧化氮、颗粒物年均值和一氧化碳24小时平均值均达到环境空气质量二级标准；细颗粒物年均值和臭氧日最大8小时滑动均值均超过环境空气质量二级标准，超标倍数分别为0.114倍、0.043</w:t>
            </w:r>
            <w:r>
              <w:rPr>
                <w:rFonts w:hint="default" w:ascii="Times New Roman" w:hAnsi="Times New Roman" w:eastAsia="仿宋" w:cs="Times New Roman"/>
                <w:color w:val="auto"/>
                <w:sz w:val="24"/>
                <w:szCs w:val="32"/>
                <w:lang w:val="en-US" w:eastAsia="zh-CN"/>
              </w:rPr>
              <w:t>8</w:t>
            </w:r>
            <w:r>
              <w:rPr>
                <w:rFonts w:hint="default" w:ascii="Times New Roman" w:hAnsi="Times New Roman" w:eastAsia="仿宋" w:cs="Times New Roman"/>
                <w:color w:val="auto"/>
                <w:sz w:val="24"/>
                <w:szCs w:val="32"/>
                <w:lang w:eastAsia="zh-CN"/>
              </w:rPr>
              <w:t>倍。项目所在区PM</w:t>
            </w:r>
            <w:r>
              <w:rPr>
                <w:rFonts w:hint="default" w:ascii="Times New Roman" w:hAnsi="Times New Roman" w:eastAsia="仿宋" w:cs="Times New Roman"/>
                <w:color w:val="auto"/>
                <w:sz w:val="24"/>
                <w:szCs w:val="32"/>
                <w:vertAlign w:val="subscript"/>
                <w:lang w:eastAsia="zh-CN"/>
              </w:rPr>
              <w:t>2.5</w:t>
            </w:r>
            <w:r>
              <w:rPr>
                <w:rFonts w:hint="default" w:ascii="Times New Roman" w:hAnsi="Times New Roman" w:eastAsia="仿宋" w:cs="Times New Roman"/>
                <w:color w:val="auto"/>
                <w:sz w:val="24"/>
                <w:szCs w:val="32"/>
                <w:lang w:eastAsia="zh-CN"/>
              </w:rPr>
              <w:t>、O</w:t>
            </w:r>
            <w:r>
              <w:rPr>
                <w:rFonts w:hint="default" w:ascii="Times New Roman" w:hAnsi="Times New Roman" w:eastAsia="仿宋" w:cs="Times New Roman"/>
                <w:color w:val="auto"/>
                <w:sz w:val="24"/>
                <w:szCs w:val="32"/>
                <w:vertAlign w:val="subscript"/>
                <w:lang w:eastAsia="zh-CN"/>
              </w:rPr>
              <w:t>3</w:t>
            </w:r>
            <w:r>
              <w:rPr>
                <w:rFonts w:hint="default" w:ascii="Times New Roman" w:hAnsi="Times New Roman" w:eastAsia="仿宋" w:cs="Times New Roman"/>
                <w:color w:val="auto"/>
                <w:sz w:val="24"/>
                <w:szCs w:val="32"/>
                <w:lang w:eastAsia="zh-CN"/>
              </w:rPr>
              <w:t>超标，因此判定为非达标区。</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（2）其他污染物环境质量现状</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为了解项目所在地空气环境质量现状，本项目非甲烷总烃</w:t>
            </w:r>
            <w:r>
              <w:rPr>
                <w:rFonts w:hint="eastAsia" w:eastAsia="仿宋" w:cs="Times New Roman"/>
                <w:kern w:val="0"/>
                <w:sz w:val="24"/>
                <w:szCs w:val="24"/>
                <w:lang w:val="en-US" w:eastAsia="zh-CN"/>
              </w:rPr>
              <w:t>现状数据</w:t>
            </w:r>
            <w:r>
              <w:rPr>
                <w:rFonts w:hint="eastAsia" w:ascii="Times New Roman" w:hAnsi="Times New Roman" w:eastAsia="仿宋" w:cs="Times New Roman"/>
                <w:kern w:val="0"/>
                <w:sz w:val="24"/>
                <w:szCs w:val="24"/>
                <w:lang w:val="en-US" w:eastAsia="zh-CN"/>
              </w:rPr>
              <w:t>引用</w:t>
            </w:r>
            <w:r>
              <w:rPr>
                <w:rFonts w:hint="eastAsia" w:eastAsia="仿宋" w:cs="Times New Roman"/>
                <w:kern w:val="0"/>
                <w:sz w:val="24"/>
                <w:szCs w:val="24"/>
                <w:lang w:val="en-US" w:eastAsia="zh-CN"/>
              </w:rPr>
              <w:t>青山绿水（江苏）检验</w:t>
            </w:r>
            <w:r>
              <w:rPr>
                <w:rFonts w:hint="eastAsia" w:ascii="Times New Roman" w:hAnsi="Times New Roman" w:eastAsia="仿宋" w:cs="Times New Roman"/>
                <w:kern w:val="0"/>
                <w:sz w:val="24"/>
                <w:szCs w:val="24"/>
                <w:lang w:val="en-US" w:eastAsia="zh-CN"/>
              </w:rPr>
              <w:t>检测有限公司报告</w:t>
            </w:r>
            <w:r>
              <w:rPr>
                <w:rFonts w:hint="eastAsia" w:eastAsia="仿宋" w:cs="Times New Roman"/>
                <w:kern w:val="0"/>
                <w:sz w:val="24"/>
                <w:szCs w:val="24"/>
                <w:lang w:val="en-US" w:eastAsia="zh-CN"/>
              </w:rPr>
              <w:t>，</w:t>
            </w:r>
            <w:r>
              <w:rPr>
                <w:rFonts w:hint="eastAsia" w:ascii="Times New Roman" w:hAnsi="Times New Roman" w:eastAsia="仿宋" w:cs="Times New Roman"/>
                <w:kern w:val="0"/>
                <w:sz w:val="24"/>
                <w:szCs w:val="24"/>
                <w:lang w:val="en-US" w:eastAsia="zh-CN"/>
              </w:rPr>
              <w:t>编号为</w:t>
            </w:r>
            <w:r>
              <w:rPr>
                <w:rFonts w:hint="eastAsia" w:eastAsia="仿宋" w:cs="Times New Roman"/>
                <w:kern w:val="0"/>
                <w:sz w:val="24"/>
                <w:szCs w:val="24"/>
                <w:lang w:val="en-US" w:eastAsia="zh-CN"/>
              </w:rPr>
              <w:t>CQHH191619；①</w:t>
            </w:r>
            <w:r>
              <w:rPr>
                <w:rFonts w:hint="eastAsia" w:ascii="Times New Roman" w:hAnsi="Times New Roman" w:eastAsia="仿宋" w:cs="Times New Roman"/>
                <w:kern w:val="0"/>
                <w:sz w:val="24"/>
                <w:szCs w:val="24"/>
                <w:lang w:val="en-US" w:eastAsia="zh-CN"/>
              </w:rPr>
              <w:t>监测地距离项目所在地</w:t>
            </w:r>
            <w:r>
              <w:rPr>
                <w:rFonts w:hint="eastAsia" w:eastAsia="仿宋" w:cs="Times New Roman"/>
                <w:kern w:val="0"/>
                <w:sz w:val="24"/>
                <w:szCs w:val="24"/>
                <w:lang w:val="en-US" w:eastAsia="zh-CN"/>
              </w:rPr>
              <w:t>2250m，</w:t>
            </w:r>
            <w:r>
              <w:rPr>
                <w:rFonts w:hint="eastAsia" w:ascii="Times New Roman" w:hAnsi="Times New Roman" w:eastAsia="仿宋" w:cs="Times New Roman"/>
                <w:kern w:val="0"/>
                <w:sz w:val="24"/>
                <w:szCs w:val="24"/>
                <w:lang w:val="en-US" w:eastAsia="zh-CN"/>
              </w:rPr>
              <w:t>不超过2500m</w:t>
            </w:r>
            <w:r>
              <w:rPr>
                <w:rFonts w:hint="eastAsia" w:eastAsia="仿宋" w:cs="Times New Roman"/>
                <w:kern w:val="0"/>
                <w:sz w:val="24"/>
                <w:szCs w:val="24"/>
                <w:lang w:val="en-US" w:eastAsia="zh-CN"/>
              </w:rPr>
              <w:t>；②</w:t>
            </w:r>
            <w:r>
              <w:rPr>
                <w:rFonts w:hint="eastAsia" w:ascii="Times New Roman" w:hAnsi="Times New Roman" w:eastAsia="仿宋" w:cs="Times New Roman"/>
                <w:kern w:val="0"/>
                <w:sz w:val="24"/>
                <w:szCs w:val="24"/>
                <w:lang w:val="en-US" w:eastAsia="zh-CN"/>
              </w:rPr>
              <w:t>监测时间不超过三年</w:t>
            </w:r>
            <w:r>
              <w:rPr>
                <w:rFonts w:hint="eastAsia" w:eastAsia="仿宋" w:cs="Times New Roman"/>
                <w:kern w:val="0"/>
                <w:sz w:val="24"/>
                <w:szCs w:val="24"/>
                <w:lang w:val="en-US" w:eastAsia="zh-CN"/>
              </w:rPr>
              <w:t>；②污染源附近未发生重大变化，故</w:t>
            </w:r>
            <w:r>
              <w:rPr>
                <w:rFonts w:hint="eastAsia" w:ascii="Times New Roman" w:hAnsi="Times New Roman" w:eastAsia="仿宋" w:cs="Times New Roman"/>
                <w:kern w:val="0"/>
                <w:sz w:val="24"/>
                <w:szCs w:val="24"/>
                <w:lang w:val="en-US" w:eastAsia="zh-CN"/>
              </w:rPr>
              <w:t>监测数据符合要求，监测结果见表3-</w:t>
            </w:r>
            <w:r>
              <w:rPr>
                <w:rFonts w:hint="eastAsia" w:eastAsia="仿宋" w:cs="Times New Roman"/>
                <w:kern w:val="0"/>
                <w:sz w:val="24"/>
                <w:szCs w:val="24"/>
                <w:lang w:val="en-US" w:eastAsia="zh-CN"/>
              </w:rPr>
              <w:t>3</w:t>
            </w:r>
            <w:r>
              <w:rPr>
                <w:rFonts w:hint="eastAsia" w:ascii="Times New Roman" w:hAnsi="Times New Roman" w:eastAsia="仿宋" w:cs="Times New Roman"/>
                <w:kern w:val="0"/>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表3-</w:t>
            </w:r>
            <w:r>
              <w:rPr>
                <w:rFonts w:hint="eastAsia" w:eastAsia="仿宋" w:cs="Times New Roman"/>
                <w:b/>
                <w:bCs/>
                <w:kern w:val="0"/>
                <w:sz w:val="24"/>
                <w:szCs w:val="24"/>
                <w:lang w:val="en-US" w:eastAsia="zh-CN"/>
              </w:rPr>
              <w:t>3</w:t>
            </w:r>
            <w:r>
              <w:rPr>
                <w:rFonts w:hint="eastAsia" w:ascii="Times New Roman" w:hAnsi="Times New Roman" w:eastAsia="仿宋" w:cs="Times New Roman"/>
                <w:b/>
                <w:bCs/>
                <w:kern w:val="0"/>
                <w:sz w:val="24"/>
                <w:szCs w:val="24"/>
                <w:lang w:val="en-US" w:eastAsia="zh-CN"/>
              </w:rPr>
              <w:t xml:space="preserve"> </w:t>
            </w:r>
            <w:r>
              <w:rPr>
                <w:rFonts w:hint="default" w:ascii="Times New Roman" w:hAnsi="Times New Roman" w:eastAsia="仿宋" w:cs="Times New Roman"/>
                <w:b/>
                <w:bCs/>
                <w:kern w:val="0"/>
                <w:sz w:val="24"/>
                <w:szCs w:val="24"/>
                <w:lang w:val="en-US" w:eastAsia="zh-CN"/>
              </w:rPr>
              <w:t>其他污染物补充检测点基本信息表</w:t>
            </w:r>
          </w:p>
          <w:tbl>
            <w:tblPr>
              <w:tblStyle w:val="17"/>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000"/>
              <w:gridCol w:w="1177"/>
              <w:gridCol w:w="1299"/>
              <w:gridCol w:w="1389"/>
              <w:gridCol w:w="996"/>
              <w:gridCol w:w="11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3"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监测点名称</w:t>
                  </w:r>
                </w:p>
              </w:tc>
              <w:tc>
                <w:tcPr>
                  <w:tcW w:w="1308"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监测点坐标</w:t>
                  </w:r>
                </w:p>
              </w:tc>
              <w:tc>
                <w:tcPr>
                  <w:tcW w:w="78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监测因子</w:t>
                  </w:r>
                </w:p>
              </w:tc>
              <w:tc>
                <w:tcPr>
                  <w:tcW w:w="834"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监测时段</w:t>
                  </w:r>
                </w:p>
              </w:tc>
              <w:tc>
                <w:tcPr>
                  <w:tcW w:w="59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相对厂址方位</w:t>
                  </w:r>
                </w:p>
              </w:tc>
              <w:tc>
                <w:tcPr>
                  <w:tcW w:w="673"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相对厂界距离/m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6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X</w:t>
                  </w:r>
                </w:p>
              </w:tc>
              <w:tc>
                <w:tcPr>
                  <w:tcW w:w="70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Y</w:t>
                  </w:r>
                </w:p>
              </w:tc>
              <w:tc>
                <w:tcPr>
                  <w:tcW w:w="78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834"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59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67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803"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常州市三河口涂装有限公司</w:t>
                  </w:r>
                </w:p>
              </w:tc>
              <w:tc>
                <w:tcPr>
                  <w:tcW w:w="6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-2100</w:t>
                  </w:r>
                </w:p>
              </w:tc>
              <w:tc>
                <w:tcPr>
                  <w:tcW w:w="70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450</w:t>
                  </w:r>
                </w:p>
              </w:tc>
              <w:tc>
                <w:tcPr>
                  <w:tcW w:w="78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非甲烷总烃</w:t>
                  </w:r>
                </w:p>
              </w:tc>
              <w:tc>
                <w:tcPr>
                  <w:tcW w:w="83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2019年11月19日至2019年11月25日</w:t>
                  </w:r>
                </w:p>
              </w:tc>
              <w:tc>
                <w:tcPr>
                  <w:tcW w:w="59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西南</w:t>
                  </w:r>
                </w:p>
              </w:tc>
              <w:tc>
                <w:tcPr>
                  <w:tcW w:w="673"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2250</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eastAsia" w:eastAsia="仿宋" w:cs="Times New Roman"/>
                <w:b/>
                <w:bCs/>
                <w:kern w:val="0"/>
                <w:sz w:val="24"/>
                <w:szCs w:val="24"/>
                <w:lang w:val="en-US" w:eastAsia="zh-CN"/>
              </w:rPr>
              <w:t>续</w:t>
            </w:r>
            <w:r>
              <w:rPr>
                <w:rFonts w:hint="default" w:ascii="Times New Roman" w:hAnsi="Times New Roman" w:eastAsia="仿宋" w:cs="Times New Roman"/>
                <w:b/>
                <w:bCs/>
                <w:kern w:val="0"/>
                <w:sz w:val="24"/>
                <w:szCs w:val="24"/>
                <w:lang w:val="en-US" w:eastAsia="zh-CN"/>
              </w:rPr>
              <w:t>表3-3  空气环境质量监测数据结果统计表  (mg/m</w:t>
            </w:r>
            <w:r>
              <w:rPr>
                <w:rFonts w:hint="default" w:ascii="Times New Roman" w:hAnsi="Times New Roman" w:eastAsia="仿宋" w:cs="Times New Roman"/>
                <w:b/>
                <w:bCs/>
                <w:kern w:val="0"/>
                <w:sz w:val="24"/>
                <w:szCs w:val="24"/>
                <w:vertAlign w:val="superscript"/>
                <w:lang w:val="en-US" w:eastAsia="zh-CN"/>
              </w:rPr>
              <w:t>3</w:t>
            </w:r>
            <w:r>
              <w:rPr>
                <w:rFonts w:hint="default" w:ascii="Times New Roman" w:hAnsi="Times New Roman" w:eastAsia="仿宋" w:cs="Times New Roman"/>
                <w:b/>
                <w:bCs/>
                <w:kern w:val="0"/>
                <w:sz w:val="24"/>
                <w:szCs w:val="24"/>
                <w:lang w:val="en-US" w:eastAsia="zh-CN"/>
              </w:rPr>
              <w:t>)</w:t>
            </w:r>
          </w:p>
          <w:tbl>
            <w:tblPr>
              <w:tblStyle w:val="17"/>
              <w:tblW w:w="49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88"/>
              <w:gridCol w:w="729"/>
              <w:gridCol w:w="639"/>
              <w:gridCol w:w="867"/>
              <w:gridCol w:w="699"/>
              <w:gridCol w:w="1093"/>
              <w:gridCol w:w="1401"/>
              <w:gridCol w:w="1196"/>
              <w:gridCol w:w="9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jc w:val="center"/>
              </w:trPr>
              <w:tc>
                <w:tcPr>
                  <w:tcW w:w="474" w:type="pct"/>
                  <w:vMerge w:val="restart"/>
                  <w:tcBorders>
                    <w:tl2br w:val="nil"/>
                    <w:tr2bl w:val="nil"/>
                  </w:tcBorders>
                  <w:tcMar>
                    <w:left w:w="0" w:type="dxa"/>
                    <w:right w:w="0" w:type="dxa"/>
                  </w:tcMar>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点位</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名称</w:t>
                  </w:r>
                </w:p>
              </w:tc>
              <w:tc>
                <w:tcPr>
                  <w:tcW w:w="82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监测点坐标</w:t>
                  </w:r>
                </w:p>
              </w:tc>
              <w:tc>
                <w:tcPr>
                  <w:tcW w:w="521"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污染物</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名称</w:t>
                  </w:r>
                </w:p>
              </w:tc>
              <w:tc>
                <w:tcPr>
                  <w:tcW w:w="42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平均时间</w:t>
                  </w:r>
                </w:p>
              </w:tc>
              <w:tc>
                <w:tcPr>
                  <w:tcW w:w="657"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评价标准(</w:t>
                  </w:r>
                  <w:r>
                    <w:rPr>
                      <w:rFonts w:hint="eastAsia" w:eastAsia="仿宋" w:cs="Times New Roman"/>
                      <w:kern w:val="0"/>
                      <w:szCs w:val="21"/>
                      <w:vertAlign w:val="baseline"/>
                      <w:lang w:val="en-US" w:eastAsia="zh-CN"/>
                    </w:rPr>
                    <w:t>m</w:t>
                  </w:r>
                  <w:r>
                    <w:rPr>
                      <w:rFonts w:hint="default" w:ascii="Times New Roman" w:hAnsi="Times New Roman" w:eastAsia="仿宋" w:cs="Times New Roman"/>
                      <w:kern w:val="0"/>
                      <w:szCs w:val="21"/>
                      <w:vertAlign w:val="baseline"/>
                      <w:lang w:val="en-US" w:eastAsia="zh-CN"/>
                    </w:rPr>
                    <w:t>g/m</w:t>
                  </w:r>
                  <w:r>
                    <w:rPr>
                      <w:rFonts w:hint="default" w:ascii="Times New Roman" w:hAnsi="Times New Roman" w:eastAsia="仿宋" w:cs="Times New Roman"/>
                      <w:kern w:val="0"/>
                      <w:szCs w:val="21"/>
                      <w:vertAlign w:val="superscript"/>
                      <w:lang w:val="en-US" w:eastAsia="zh-CN"/>
                    </w:rPr>
                    <w:t>3</w:t>
                  </w:r>
                  <w:r>
                    <w:rPr>
                      <w:rFonts w:hint="default" w:ascii="Times New Roman" w:hAnsi="Times New Roman" w:eastAsia="仿宋" w:cs="Times New Roman"/>
                      <w:kern w:val="0"/>
                      <w:szCs w:val="21"/>
                      <w:vertAlign w:val="baseline"/>
                      <w:lang w:val="en-US" w:eastAsia="zh-CN"/>
                    </w:rPr>
                    <w:t>)</w:t>
                  </w:r>
                </w:p>
              </w:tc>
              <w:tc>
                <w:tcPr>
                  <w:tcW w:w="842"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现状浓度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w:t>
                  </w:r>
                  <w:r>
                    <w:rPr>
                      <w:rFonts w:hint="eastAsia" w:eastAsia="仿宋" w:cs="Times New Roman"/>
                      <w:kern w:val="0"/>
                      <w:szCs w:val="21"/>
                      <w:vertAlign w:val="baseline"/>
                      <w:lang w:val="en-US" w:eastAsia="zh-CN"/>
                    </w:rPr>
                    <w:t>m</w:t>
                  </w:r>
                  <w:r>
                    <w:rPr>
                      <w:rFonts w:hint="default" w:ascii="Times New Roman" w:hAnsi="Times New Roman" w:eastAsia="仿宋" w:cs="Times New Roman"/>
                      <w:kern w:val="0"/>
                      <w:szCs w:val="21"/>
                      <w:vertAlign w:val="baseline"/>
                      <w:lang w:val="en-US" w:eastAsia="zh-CN"/>
                    </w:rPr>
                    <w:t>g/m</w:t>
                  </w:r>
                  <w:r>
                    <w:rPr>
                      <w:rFonts w:hint="default" w:ascii="Times New Roman" w:hAnsi="Times New Roman" w:eastAsia="仿宋" w:cs="Times New Roman"/>
                      <w:kern w:val="0"/>
                      <w:szCs w:val="21"/>
                      <w:vertAlign w:val="superscript"/>
                      <w:lang w:val="en-US" w:eastAsia="zh-CN"/>
                    </w:rPr>
                    <w:t>3</w:t>
                  </w:r>
                  <w:r>
                    <w:rPr>
                      <w:rFonts w:hint="default" w:ascii="Times New Roman" w:hAnsi="Times New Roman" w:eastAsia="仿宋" w:cs="Times New Roman"/>
                      <w:kern w:val="0"/>
                      <w:szCs w:val="21"/>
                      <w:vertAlign w:val="baseline"/>
                      <w:lang w:val="en-US" w:eastAsia="zh-CN"/>
                    </w:rPr>
                    <w:t>)</w:t>
                  </w:r>
                </w:p>
              </w:tc>
              <w:tc>
                <w:tcPr>
                  <w:tcW w:w="719"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最大浓度占标率（%）</w:t>
                  </w:r>
                </w:p>
              </w:tc>
              <w:tc>
                <w:tcPr>
                  <w:tcW w:w="541"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达标情况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jc w:val="center"/>
              </w:trPr>
              <w:tc>
                <w:tcPr>
                  <w:tcW w:w="474"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43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X</w:t>
                  </w:r>
                </w:p>
              </w:tc>
              <w:tc>
                <w:tcPr>
                  <w:tcW w:w="38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Y</w:t>
                  </w:r>
                </w:p>
              </w:tc>
              <w:tc>
                <w:tcPr>
                  <w:tcW w:w="521"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42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657"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84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719"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541"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jc w:val="center"/>
              </w:trPr>
              <w:tc>
                <w:tcPr>
                  <w:tcW w:w="47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常州市三河口涂装有限公司</w:t>
                  </w:r>
                </w:p>
              </w:tc>
              <w:tc>
                <w:tcPr>
                  <w:tcW w:w="43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-2100</w:t>
                  </w:r>
                </w:p>
              </w:tc>
              <w:tc>
                <w:tcPr>
                  <w:tcW w:w="38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450</w:t>
                  </w:r>
                </w:p>
              </w:tc>
              <w:tc>
                <w:tcPr>
                  <w:tcW w:w="52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非甲烷总烃</w:t>
                  </w:r>
                </w:p>
              </w:tc>
              <w:tc>
                <w:tcPr>
                  <w:tcW w:w="42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1小时</w:t>
                  </w:r>
                </w:p>
              </w:tc>
              <w:tc>
                <w:tcPr>
                  <w:tcW w:w="657"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2</w:t>
                  </w:r>
                </w:p>
              </w:tc>
              <w:tc>
                <w:tcPr>
                  <w:tcW w:w="84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1.05</w:t>
                  </w:r>
                </w:p>
              </w:tc>
              <w:tc>
                <w:tcPr>
                  <w:tcW w:w="719"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52.5</w:t>
                  </w:r>
                </w:p>
              </w:tc>
              <w:tc>
                <w:tcPr>
                  <w:tcW w:w="54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达标</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根据上表可以看出，本项目所在区域范围内环境空气中非甲烷总烃1小时浓度符合《大气污染物综合排放标准详解》中推荐值要求。</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（3）区域削减</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根据省政府与常州市签订的《2020年打好污染防治攻坚战目标责任书》以及市委、市政府《关于全面加强生态环境保护坚决打好污染防治攻坚战的实施意见》（常发〔2018〕30号）、《常州市“两减六治三提升”专项行动实施方案》（常发〔2017〕9号），制定了2020年全市打好污染防治攻坚战工作方案。方案中提出打好柴油货车污染治理攻坚战、加强重点行业治理改造、实施天然气锅炉低氮改造等重点任务，进一步改善大气环境质量。通过各项有效措施，本项目所在地的空气环境质量将得到改善。</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2.地表水环境质量现状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eastAsia="宋体" w:cs="Times New Roman"/>
                <w:color w:val="auto"/>
                <w:highlight w:val="none"/>
              </w:rPr>
            </w:pPr>
            <w:r>
              <w:rPr>
                <w:rFonts w:hint="default" w:ascii="Times New Roman" w:hAnsi="Times New Roman" w:eastAsia="仿宋" w:cs="Times New Roman"/>
                <w:color w:val="auto"/>
                <w:sz w:val="24"/>
                <w:szCs w:val="24"/>
                <w:highlight w:val="none"/>
                <w:lang w:eastAsia="zh-CN"/>
              </w:rPr>
              <w:t>经化粪池处理后的生活污水</w:t>
            </w:r>
            <w:r>
              <w:rPr>
                <w:rFonts w:hint="default" w:ascii="Times New Roman" w:hAnsi="Times New Roman" w:eastAsia="仿宋" w:cs="Times New Roman"/>
                <w:color w:val="auto"/>
                <w:sz w:val="24"/>
                <w:szCs w:val="24"/>
                <w:highlight w:val="none"/>
              </w:rPr>
              <w:t>后通过</w:t>
            </w:r>
            <w:r>
              <w:rPr>
                <w:rFonts w:hint="default" w:ascii="Times New Roman" w:hAnsi="Times New Roman" w:eastAsia="仿宋" w:cs="Times New Roman"/>
                <w:color w:val="auto"/>
                <w:sz w:val="24"/>
                <w:szCs w:val="24"/>
                <w:highlight w:val="none"/>
                <w:lang w:val="zh-CN"/>
              </w:rPr>
              <w:t>市政污水管网排入</w:t>
            </w:r>
            <w:r>
              <w:rPr>
                <w:rFonts w:hint="default" w:ascii="Times New Roman" w:hAnsi="Times New Roman" w:eastAsia="仿宋" w:cs="Times New Roman"/>
                <w:color w:val="auto"/>
                <w:sz w:val="24"/>
                <w:szCs w:val="24"/>
                <w:highlight w:val="none"/>
              </w:rPr>
              <w:t>郑陆污水处理有限公司处理，尾水排放至舜河。根据《常州市地表水（环境）功能区划》，水环境质量标准舜河执行《地表水环境质量标准》（GB3838-2002）Ⅲ类标准，标准值见表</w:t>
            </w:r>
            <w:r>
              <w:rPr>
                <w:rFonts w:hint="eastAsia" w:ascii="Times New Roman" w:hAnsi="Times New Roman" w:eastAsia="仿宋" w:cs="Times New Roman"/>
                <w:color w:val="auto"/>
                <w:sz w:val="24"/>
                <w:szCs w:val="24"/>
                <w:highlight w:val="none"/>
                <w:lang w:val="en-US" w:eastAsia="zh-CN"/>
              </w:rPr>
              <w:t>3-4</w:t>
            </w:r>
            <w:r>
              <w:rPr>
                <w:rFonts w:hint="default" w:ascii="Times New Roman" w:hAnsi="Times New Roman" w:eastAsia="仿宋" w:cs="Times New Roman"/>
                <w:color w:val="auto"/>
                <w:sz w:val="24"/>
                <w:szCs w:val="24"/>
                <w:highlight w:val="none"/>
              </w:rPr>
              <w:t>。</w:t>
            </w:r>
          </w:p>
          <w:p>
            <w:pPr>
              <w:pStyle w:val="41"/>
              <w:ind w:firstLine="480"/>
              <w:rPr>
                <w:rFonts w:hint="default"/>
                <w:color w:val="auto"/>
                <w:highlight w:val="none"/>
              </w:rPr>
            </w:pPr>
            <w:r>
              <w:rPr>
                <w:rFonts w:hint="default" w:ascii="Times New Roman" w:hAnsi="Times New Roman" w:eastAsia="仿宋" w:cs="Times New Roman"/>
                <w:color w:val="auto"/>
                <w:sz w:val="24"/>
                <w:szCs w:val="24"/>
                <w:highlight w:val="none"/>
              </w:rPr>
              <w:t>表</w:t>
            </w:r>
            <w:r>
              <w:rPr>
                <w:rFonts w:hint="eastAsia" w:ascii="Times New Roman" w:hAnsi="Times New Roman" w:eastAsia="仿宋" w:cs="Times New Roman"/>
                <w:color w:val="auto"/>
                <w:sz w:val="24"/>
                <w:szCs w:val="24"/>
                <w:highlight w:val="none"/>
                <w:lang w:val="en-US" w:eastAsia="zh-CN"/>
              </w:rPr>
              <w:t>3-4</w:t>
            </w:r>
            <w:r>
              <w:rPr>
                <w:rFonts w:hint="default" w:ascii="Times New Roman" w:hAnsi="Times New Roman" w:eastAsia="仿宋" w:cs="Times New Roman"/>
                <w:color w:val="auto"/>
                <w:sz w:val="24"/>
                <w:szCs w:val="24"/>
                <w:highlight w:val="none"/>
              </w:rPr>
              <w:t>《地表水环境质量标准》（GB3838-2002）</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3"/>
              <w:gridCol w:w="1564"/>
              <w:gridCol w:w="1422"/>
              <w:gridCol w:w="1672"/>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pct"/>
                  <w:noWrap w:val="0"/>
                  <w:vAlign w:val="center"/>
                </w:tcPr>
                <w:p>
                  <w:pPr>
                    <w:pStyle w:val="40"/>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项目</w:t>
                  </w:r>
                </w:p>
              </w:tc>
              <w:tc>
                <w:tcPr>
                  <w:tcW w:w="938" w:type="pct"/>
                  <w:noWrap w:val="0"/>
                  <w:vAlign w:val="center"/>
                </w:tcPr>
                <w:p>
                  <w:pPr>
                    <w:pStyle w:val="40"/>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pH（无量纲）</w:t>
                  </w:r>
                </w:p>
              </w:tc>
              <w:tc>
                <w:tcPr>
                  <w:tcW w:w="853" w:type="pct"/>
                  <w:noWrap w:val="0"/>
                  <w:vAlign w:val="center"/>
                </w:tcPr>
                <w:p>
                  <w:pPr>
                    <w:pStyle w:val="40"/>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COD</w:t>
                  </w:r>
                </w:p>
              </w:tc>
              <w:tc>
                <w:tcPr>
                  <w:tcW w:w="1003" w:type="pct"/>
                  <w:noWrap w:val="0"/>
                  <w:vAlign w:val="center"/>
                </w:tcPr>
                <w:p>
                  <w:pPr>
                    <w:pStyle w:val="40"/>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NH</w:t>
                  </w:r>
                  <w:r>
                    <w:rPr>
                      <w:rFonts w:hint="default" w:ascii="Times New Roman" w:hAnsi="Times New Roman" w:eastAsia="仿宋" w:cs="Times New Roman"/>
                      <w:b/>
                      <w:bCs/>
                      <w:color w:val="auto"/>
                      <w:sz w:val="21"/>
                      <w:szCs w:val="21"/>
                      <w:highlight w:val="none"/>
                      <w:vertAlign w:val="subscript"/>
                    </w:rPr>
                    <w:t>3</w:t>
                  </w:r>
                  <w:r>
                    <w:rPr>
                      <w:rFonts w:hint="default" w:ascii="Times New Roman" w:hAnsi="Times New Roman" w:eastAsia="仿宋" w:cs="Times New Roman"/>
                      <w:b/>
                      <w:bCs/>
                      <w:color w:val="auto"/>
                      <w:sz w:val="21"/>
                      <w:szCs w:val="21"/>
                      <w:highlight w:val="none"/>
                    </w:rPr>
                    <w:t>-N</w:t>
                  </w:r>
                </w:p>
              </w:tc>
              <w:tc>
                <w:tcPr>
                  <w:tcW w:w="648" w:type="pct"/>
                  <w:noWrap w:val="0"/>
                  <w:vAlign w:val="center"/>
                </w:tcPr>
                <w:p>
                  <w:pPr>
                    <w:pStyle w:val="40"/>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pct"/>
                  <w:noWrap w:val="0"/>
                  <w:vAlign w:val="center"/>
                </w:tcPr>
                <w:p>
                  <w:pPr>
                    <w:pStyle w:val="4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Ⅲ类标准限值（mg/L）</w:t>
                  </w:r>
                </w:p>
              </w:tc>
              <w:tc>
                <w:tcPr>
                  <w:tcW w:w="938" w:type="pct"/>
                  <w:noWrap w:val="0"/>
                  <w:vAlign w:val="center"/>
                </w:tcPr>
                <w:p>
                  <w:pPr>
                    <w:pStyle w:val="4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6～9</w:t>
                  </w:r>
                </w:p>
              </w:tc>
              <w:tc>
                <w:tcPr>
                  <w:tcW w:w="853" w:type="pct"/>
                  <w:noWrap w:val="0"/>
                  <w:vAlign w:val="center"/>
                </w:tcPr>
                <w:p>
                  <w:pPr>
                    <w:pStyle w:val="4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≤20</w:t>
                  </w:r>
                </w:p>
              </w:tc>
              <w:tc>
                <w:tcPr>
                  <w:tcW w:w="1003" w:type="pct"/>
                  <w:noWrap w:val="0"/>
                  <w:vAlign w:val="center"/>
                </w:tcPr>
                <w:p>
                  <w:pPr>
                    <w:pStyle w:val="4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648" w:type="pct"/>
                  <w:noWrap w:val="0"/>
                  <w:vAlign w:val="center"/>
                </w:tcPr>
                <w:p>
                  <w:pPr>
                    <w:pStyle w:val="4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项目舜河水环境质量现状pH、化学需氧量、氨氮、</w:t>
            </w:r>
            <w:r>
              <w:rPr>
                <w:rFonts w:hint="default" w:ascii="Times New Roman" w:hAnsi="Times New Roman" w:eastAsia="仿宋" w:cs="Times New Roman"/>
                <w:color w:val="auto"/>
                <w:sz w:val="24"/>
                <w:szCs w:val="24"/>
                <w:highlight w:val="none"/>
                <w:lang w:val="en-US" w:eastAsia="zh-CN"/>
              </w:rPr>
              <w:t>总磷</w:t>
            </w:r>
            <w:r>
              <w:rPr>
                <w:rFonts w:hint="default" w:ascii="Times New Roman" w:hAnsi="Times New Roman" w:eastAsia="仿宋" w:cs="Times New Roman"/>
                <w:color w:val="auto"/>
                <w:sz w:val="24"/>
                <w:szCs w:val="24"/>
                <w:highlight w:val="none"/>
              </w:rPr>
              <w:t>引用</w:t>
            </w:r>
            <w:r>
              <w:rPr>
                <w:rFonts w:hint="default" w:ascii="Times New Roman" w:hAnsi="Times New Roman" w:eastAsia="仿宋" w:cs="Times New Roman"/>
                <w:color w:val="auto"/>
                <w:sz w:val="24"/>
                <w:szCs w:val="24"/>
                <w:highlight w:val="none"/>
                <w:lang w:eastAsia="zh-CN"/>
              </w:rPr>
              <w:t>2</w:t>
            </w:r>
            <w:r>
              <w:rPr>
                <w:rFonts w:hint="default" w:ascii="Times New Roman" w:hAnsi="Times New Roman" w:eastAsia="仿宋" w:cs="Times New Roman"/>
                <w:color w:val="auto"/>
                <w:sz w:val="24"/>
                <w:szCs w:val="24"/>
                <w:highlight w:val="none"/>
                <w:lang w:val="en-US" w:eastAsia="zh-CN"/>
              </w:rPr>
              <w:t>020</w:t>
            </w:r>
            <w:r>
              <w:rPr>
                <w:rFonts w:hint="default" w:ascii="Times New Roman" w:hAnsi="Times New Roman" w:eastAsia="仿宋" w:cs="Times New Roman"/>
                <w:color w:val="auto"/>
                <w:sz w:val="24"/>
                <w:szCs w:val="24"/>
                <w:highlight w:val="none"/>
              </w:rPr>
              <w:t>年</w:t>
            </w:r>
            <w:r>
              <w:rPr>
                <w:rFonts w:hint="eastAsia"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月</w:t>
            </w:r>
            <w:r>
              <w:rPr>
                <w:rFonts w:hint="eastAsia" w:eastAsia="仿宋" w:cs="Times New Roman"/>
                <w:color w:val="auto"/>
                <w:sz w:val="24"/>
                <w:szCs w:val="24"/>
                <w:highlight w:val="none"/>
                <w:lang w:val="en-US" w:eastAsia="zh-CN"/>
              </w:rPr>
              <w:t>27</w:t>
            </w:r>
            <w:r>
              <w:rPr>
                <w:rFonts w:hint="default" w:ascii="Times New Roman" w:hAnsi="Times New Roman" w:eastAsia="仿宋" w:cs="Times New Roman"/>
                <w:color w:val="auto"/>
                <w:sz w:val="24"/>
                <w:szCs w:val="24"/>
                <w:highlight w:val="none"/>
              </w:rPr>
              <w:t>日-20</w:t>
            </w:r>
            <w:r>
              <w:rPr>
                <w:rFonts w:hint="default" w:ascii="Times New Roman" w:hAnsi="Times New Roman" w:eastAsia="仿宋" w:cs="Times New Roman"/>
                <w:color w:val="auto"/>
                <w:sz w:val="24"/>
                <w:szCs w:val="24"/>
                <w:highlight w:val="none"/>
                <w:lang w:eastAsia="zh-CN"/>
              </w:rPr>
              <w:t>2</w:t>
            </w:r>
            <w:r>
              <w:rPr>
                <w:rFonts w:hint="default" w:ascii="Times New Roman" w:hAnsi="Times New Roman" w:eastAsia="仿宋" w:cs="Times New Roman"/>
                <w:color w:val="auto"/>
                <w:sz w:val="24"/>
                <w:szCs w:val="24"/>
                <w:highlight w:val="none"/>
                <w:lang w:val="en-US" w:eastAsia="zh-CN"/>
              </w:rPr>
              <w:t>0</w:t>
            </w:r>
            <w:r>
              <w:rPr>
                <w:rFonts w:hint="default" w:ascii="Times New Roman" w:hAnsi="Times New Roman" w:eastAsia="仿宋" w:cs="Times New Roman"/>
                <w:color w:val="auto"/>
                <w:sz w:val="24"/>
                <w:szCs w:val="24"/>
                <w:highlight w:val="none"/>
              </w:rPr>
              <w:t>年</w:t>
            </w:r>
            <w:r>
              <w:rPr>
                <w:rFonts w:hint="eastAsia"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月</w:t>
            </w:r>
            <w:r>
              <w:rPr>
                <w:rFonts w:hint="eastAsia" w:eastAsia="仿宋" w:cs="Times New Roman"/>
                <w:color w:val="auto"/>
                <w:sz w:val="24"/>
                <w:szCs w:val="24"/>
                <w:highlight w:val="none"/>
                <w:lang w:val="en-US" w:eastAsia="zh-CN"/>
              </w:rPr>
              <w:t>29</w:t>
            </w:r>
            <w:r>
              <w:rPr>
                <w:rFonts w:hint="default" w:ascii="Times New Roman" w:hAnsi="Times New Roman" w:eastAsia="仿宋" w:cs="Times New Roman"/>
                <w:color w:val="auto"/>
                <w:sz w:val="24"/>
                <w:szCs w:val="24"/>
                <w:highlight w:val="none"/>
              </w:rPr>
              <w:t>日</w:t>
            </w:r>
            <w:r>
              <w:rPr>
                <w:rFonts w:hint="eastAsia" w:eastAsia="仿宋" w:cs="Times New Roman"/>
                <w:kern w:val="0"/>
                <w:sz w:val="24"/>
                <w:szCs w:val="24"/>
                <w:lang w:val="en-US" w:eastAsia="zh-CN"/>
              </w:rPr>
              <w:t>青山绿水（江苏）检验</w:t>
            </w:r>
            <w:r>
              <w:rPr>
                <w:rFonts w:hint="eastAsia" w:ascii="Times New Roman" w:hAnsi="Times New Roman" w:eastAsia="仿宋" w:cs="Times New Roman"/>
                <w:kern w:val="0"/>
                <w:sz w:val="24"/>
                <w:szCs w:val="24"/>
                <w:lang w:val="en-US" w:eastAsia="zh-CN"/>
              </w:rPr>
              <w:t>检测有限公司</w:t>
            </w:r>
            <w:r>
              <w:rPr>
                <w:rFonts w:hint="default" w:ascii="Times New Roman" w:hAnsi="Times New Roman" w:eastAsia="仿宋" w:cs="Times New Roman"/>
                <w:color w:val="auto"/>
                <w:sz w:val="24"/>
                <w:szCs w:val="24"/>
                <w:highlight w:val="none"/>
              </w:rPr>
              <w:t>对郑陆污水处理有限公司</w:t>
            </w:r>
            <w:r>
              <w:rPr>
                <w:rFonts w:hint="default" w:ascii="Times New Roman" w:hAnsi="Times New Roman" w:eastAsia="仿宋" w:cs="Times New Roman"/>
                <w:color w:val="auto"/>
                <w:kern w:val="0"/>
                <w:sz w:val="24"/>
                <w:szCs w:val="24"/>
                <w:highlight w:val="none"/>
              </w:rPr>
              <w:t>W1郑陆污水处理有限公司排口上游500m</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kern w:val="0"/>
                <w:sz w:val="24"/>
                <w:szCs w:val="24"/>
                <w:highlight w:val="none"/>
                <w:lang w:eastAsia="zh-CN"/>
              </w:rPr>
              <w:t>W2</w:t>
            </w:r>
            <w:r>
              <w:rPr>
                <w:rFonts w:hint="default" w:ascii="Times New Roman" w:hAnsi="Times New Roman" w:eastAsia="仿宋" w:cs="Times New Roman"/>
                <w:color w:val="auto"/>
                <w:kern w:val="0"/>
                <w:sz w:val="24"/>
                <w:szCs w:val="24"/>
                <w:highlight w:val="none"/>
              </w:rPr>
              <w:t>郑陆污水处理有限公司排口下游1000m</w:t>
            </w:r>
            <w:r>
              <w:rPr>
                <w:rFonts w:hint="default" w:ascii="Times New Roman" w:hAnsi="Times New Roman" w:eastAsia="仿宋" w:cs="Times New Roman"/>
                <w:color w:val="auto"/>
                <w:kern w:val="0"/>
                <w:sz w:val="24"/>
                <w:szCs w:val="24"/>
                <w:highlight w:val="none"/>
                <w:lang w:val="en-US" w:eastAsia="zh-CN"/>
              </w:rPr>
              <w:t>两</w:t>
            </w:r>
            <w:r>
              <w:rPr>
                <w:rFonts w:hint="default" w:ascii="Times New Roman" w:hAnsi="Times New Roman" w:eastAsia="仿宋" w:cs="Times New Roman"/>
                <w:color w:val="auto"/>
                <w:kern w:val="0"/>
                <w:sz w:val="24"/>
                <w:szCs w:val="24"/>
                <w:highlight w:val="none"/>
              </w:rPr>
              <w:t>个</w:t>
            </w:r>
            <w:r>
              <w:rPr>
                <w:rFonts w:hint="default" w:ascii="Times New Roman" w:hAnsi="Times New Roman" w:eastAsia="仿宋" w:cs="Times New Roman"/>
                <w:color w:val="auto"/>
                <w:sz w:val="24"/>
                <w:szCs w:val="24"/>
                <w:highlight w:val="none"/>
              </w:rPr>
              <w:t>断面的现状监测数据（监测报告号：</w:t>
            </w:r>
            <w:r>
              <w:rPr>
                <w:rFonts w:hint="eastAsia" w:eastAsia="仿宋" w:cs="Times New Roman"/>
                <w:color w:val="auto"/>
                <w:sz w:val="24"/>
                <w:szCs w:val="24"/>
                <w:highlight w:val="none"/>
                <w:lang w:val="en-US" w:eastAsia="zh-CN"/>
              </w:rPr>
              <w:t>CQHH191823-1</w:t>
            </w:r>
            <w:r>
              <w:rPr>
                <w:rFonts w:hint="default" w:ascii="Times New Roman" w:hAnsi="Times New Roman" w:eastAsia="仿宋" w:cs="Times New Roman"/>
                <w:color w:val="auto"/>
                <w:sz w:val="24"/>
                <w:szCs w:val="24"/>
                <w:highlight w:val="none"/>
              </w:rPr>
              <w:t>）。采样断面的布设与取样点见附图4。地表水环境现状监测评价结果见表3-</w:t>
            </w:r>
            <w:r>
              <w:rPr>
                <w:rFonts w:hint="eastAsia" w:eastAsia="仿宋"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rPr>
              <w:t>。</w:t>
            </w:r>
          </w:p>
          <w:p>
            <w:pPr>
              <w:autoSpaceDE w:val="0"/>
              <w:autoSpaceDN w:val="0"/>
              <w:ind w:firstLine="480"/>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表3</w:t>
            </w:r>
            <w:r>
              <w:rPr>
                <w:rFonts w:hint="eastAsia" w:eastAsia="仿宋" w:cs="Times New Roman"/>
                <w:b/>
                <w:color w:val="auto"/>
                <w:sz w:val="24"/>
                <w:szCs w:val="24"/>
                <w:highlight w:val="none"/>
                <w:lang w:val="en-US" w:eastAsia="zh-CN"/>
              </w:rPr>
              <w:t>-5</w:t>
            </w:r>
            <w:r>
              <w:rPr>
                <w:rFonts w:hint="default" w:ascii="Times New Roman" w:hAnsi="Times New Roman" w:eastAsia="仿宋" w:cs="Times New Roman"/>
                <w:b/>
                <w:color w:val="auto"/>
                <w:sz w:val="24"/>
                <w:szCs w:val="24"/>
                <w:highlight w:val="none"/>
              </w:rPr>
              <w:t xml:space="preserve"> 地表水环境质量现状监测结果（单位：mg/L，pH无量纲）</w:t>
            </w:r>
          </w:p>
          <w:tbl>
            <w:tblPr>
              <w:tblStyle w:val="17"/>
              <w:tblW w:w="829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979"/>
              <w:gridCol w:w="1206"/>
              <w:gridCol w:w="1306"/>
              <w:gridCol w:w="1269"/>
              <w:gridCol w:w="1269"/>
              <w:gridCol w:w="12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197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断面</w:t>
                  </w:r>
                </w:p>
              </w:tc>
              <w:tc>
                <w:tcPr>
                  <w:tcW w:w="12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监测项目</w:t>
                  </w:r>
                </w:p>
              </w:tc>
              <w:tc>
                <w:tcPr>
                  <w:tcW w:w="13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pH</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COD</w:t>
                  </w:r>
                  <w:r>
                    <w:rPr>
                      <w:rFonts w:hint="default" w:ascii="Times New Roman" w:hAnsi="Times New Roman" w:eastAsia="仿宋" w:cs="Times New Roman"/>
                      <w:b/>
                      <w:color w:val="auto"/>
                      <w:sz w:val="21"/>
                      <w:szCs w:val="21"/>
                      <w:highlight w:val="none"/>
                      <w:vertAlign w:val="subscript"/>
                    </w:rPr>
                    <w:t>Cr</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NH</w:t>
                  </w:r>
                  <w:r>
                    <w:rPr>
                      <w:rFonts w:hint="default" w:ascii="Times New Roman" w:hAnsi="Times New Roman" w:eastAsia="仿宋" w:cs="Times New Roman"/>
                      <w:b/>
                      <w:color w:val="auto"/>
                      <w:sz w:val="21"/>
                      <w:szCs w:val="21"/>
                      <w:highlight w:val="none"/>
                      <w:vertAlign w:val="subscript"/>
                    </w:rPr>
                    <w:t>3</w:t>
                  </w:r>
                  <w:r>
                    <w:rPr>
                      <w:rFonts w:hint="default" w:ascii="Times New Roman" w:hAnsi="Times New Roman" w:eastAsia="仿宋" w:cs="Times New Roman"/>
                      <w:b/>
                      <w:color w:val="auto"/>
                      <w:sz w:val="21"/>
                      <w:szCs w:val="21"/>
                      <w:highlight w:val="none"/>
                    </w:rPr>
                    <w:t>-N</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TP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1979" w:type="dxa"/>
                  <w:vMerge w:val="restart"/>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rPr>
                    <w:t>W1郑陆污水处理有限公司排口上游500m</w:t>
                  </w:r>
                </w:p>
              </w:tc>
              <w:tc>
                <w:tcPr>
                  <w:tcW w:w="12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最小值</w:t>
                  </w:r>
                </w:p>
              </w:tc>
              <w:tc>
                <w:tcPr>
                  <w:tcW w:w="13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8.14</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16</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0.082</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eastAsia="zh-CN"/>
                    </w:rPr>
                    <w:t>0.</w:t>
                  </w:r>
                  <w:r>
                    <w:rPr>
                      <w:rFonts w:hint="eastAsia" w:eastAsia="仿宋" w:cs="Times New Roman"/>
                      <w:color w:val="auto"/>
                      <w:sz w:val="21"/>
                      <w:szCs w:val="21"/>
                      <w:highlight w:val="none"/>
                      <w:lang w:val="en-US" w:eastAsia="zh-CN"/>
                    </w:rPr>
                    <w:t>170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1979" w:type="dxa"/>
                  <w:vMerge w:val="continue"/>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12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最大值</w:t>
                  </w:r>
                </w:p>
              </w:tc>
              <w:tc>
                <w:tcPr>
                  <w:tcW w:w="13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8.46</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eastAsia="zh-CN"/>
                    </w:rPr>
                    <w:t>1</w:t>
                  </w:r>
                  <w:r>
                    <w:rPr>
                      <w:rFonts w:hint="eastAsia" w:eastAsia="仿宋" w:cs="Times New Roman"/>
                      <w:color w:val="auto"/>
                      <w:sz w:val="21"/>
                      <w:szCs w:val="21"/>
                      <w:highlight w:val="none"/>
                      <w:lang w:val="en-US" w:eastAsia="zh-CN"/>
                    </w:rPr>
                    <w:t>9</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eastAsia="zh-CN"/>
                    </w:rPr>
                    <w:t>0.</w:t>
                  </w:r>
                  <w:r>
                    <w:rPr>
                      <w:rFonts w:hint="eastAsia" w:eastAsia="仿宋" w:cs="Times New Roman"/>
                      <w:color w:val="auto"/>
                      <w:sz w:val="21"/>
                      <w:szCs w:val="21"/>
                      <w:highlight w:val="none"/>
                      <w:lang w:val="en-US" w:eastAsia="zh-CN"/>
                    </w:rPr>
                    <w:t>102</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eastAsia="zh-CN"/>
                    </w:rPr>
                    <w:t>0.</w:t>
                  </w:r>
                  <w:r>
                    <w:rPr>
                      <w:rFonts w:hint="eastAsia" w:eastAsia="仿宋" w:cs="Times New Roman"/>
                      <w:color w:val="auto"/>
                      <w:sz w:val="21"/>
                      <w:szCs w:val="21"/>
                      <w:highlight w:val="none"/>
                      <w:lang w:val="en-US" w:eastAsia="zh-CN"/>
                    </w:rPr>
                    <w:t>194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1979" w:type="dxa"/>
                  <w:vMerge w:val="continue"/>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12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污染指数</w:t>
                  </w:r>
                </w:p>
              </w:tc>
              <w:tc>
                <w:tcPr>
                  <w:tcW w:w="13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0.57-0.73</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0.8-0.95</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0.082-0.102</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0.85-0.97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1979" w:type="dxa"/>
                  <w:vMerge w:val="continue"/>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12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超标率%</w:t>
                  </w:r>
                </w:p>
              </w:tc>
              <w:tc>
                <w:tcPr>
                  <w:tcW w:w="13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1979" w:type="dxa"/>
                  <w:vMerge w:val="restart"/>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rPr>
                    <w:t>W2郑陆污水处理有限公司排口下游1000m</w:t>
                  </w:r>
                </w:p>
              </w:tc>
              <w:tc>
                <w:tcPr>
                  <w:tcW w:w="12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最小值</w:t>
                  </w:r>
                </w:p>
              </w:tc>
              <w:tc>
                <w:tcPr>
                  <w:tcW w:w="13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8.26</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13</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0.084</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0.146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1979" w:type="dxa"/>
                  <w:vMerge w:val="continue"/>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12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最大值</w:t>
                  </w:r>
                </w:p>
              </w:tc>
              <w:tc>
                <w:tcPr>
                  <w:tcW w:w="13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8.65</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17</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0.106</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0.179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1979" w:type="dxa"/>
                  <w:vMerge w:val="continue"/>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12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污染指数</w:t>
                  </w:r>
                </w:p>
              </w:tc>
              <w:tc>
                <w:tcPr>
                  <w:tcW w:w="13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0.63-0.825</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0.65-0.85</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0.084-0.106</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0.73-0.895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1979" w:type="dxa"/>
                  <w:vMerge w:val="continue"/>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12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超标率%</w:t>
                  </w:r>
                </w:p>
              </w:tc>
              <w:tc>
                <w:tcPr>
                  <w:tcW w:w="13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6" w:hRule="atLeast"/>
                <w:jc w:val="center"/>
              </w:trPr>
              <w:tc>
                <w:tcPr>
                  <w:tcW w:w="3185" w:type="dxa"/>
                  <w:gridSpan w:val="2"/>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《地表水环境质量标准》（GB3838-2002）Ⅲ类标准</w:t>
                  </w:r>
                </w:p>
              </w:tc>
              <w:tc>
                <w:tcPr>
                  <w:tcW w:w="1306"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6-9</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20</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1269" w:type="dxa"/>
                  <w:tcBorders>
                    <w:tl2br w:val="nil"/>
                    <w:tr2bl w:val="nil"/>
                  </w:tcBorders>
                  <w:shd w:val="clear" w:color="auto" w:fill="auto"/>
                  <w:vAlign w:val="center"/>
                </w:tcPr>
                <w:p>
                  <w:pPr>
                    <w:autoSpaceDE w:val="0"/>
                    <w:autoSpaceDN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0.2</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color w:val="auto"/>
                <w:sz w:val="24"/>
                <w:szCs w:val="24"/>
                <w:highlight w:val="none"/>
              </w:rPr>
              <w:t>由上表中监测结果看出，舜河各监测断面的各污染物现状指标均达到《地表水环境质量标准》（GB3838-2002）Ⅲ类水质标准，说明该监测段地表水环境可满足水体功能需求。引用数据在三年以内，且周边污染源未发生重大变化，其监测频次、分析方法均符合相关要求，因此该引用数据是有效的。</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3.声环境质量现状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eastAsia" w:eastAsia="仿宋" w:cs="Times New Roman"/>
                <w:color w:val="auto"/>
                <w:sz w:val="24"/>
                <w:szCs w:val="24"/>
                <w:highlight w:val="none"/>
                <w:lang w:val="en-US" w:eastAsia="zh-CN"/>
              </w:rPr>
              <w:t>根据现场勘察结果，企业拟搬迁地址东、北厂</w:t>
            </w:r>
            <w:r>
              <w:rPr>
                <w:rFonts w:hint="default" w:ascii="Times New Roman" w:hAnsi="Times New Roman" w:eastAsia="仿宋" w:cs="Times New Roman"/>
                <w:color w:val="auto"/>
                <w:sz w:val="24"/>
                <w:szCs w:val="24"/>
                <w:highlight w:val="none"/>
              </w:rPr>
              <w:t>界</w:t>
            </w:r>
            <w:r>
              <w:rPr>
                <w:rFonts w:hint="default" w:ascii="Times New Roman" w:hAnsi="Times New Roman" w:eastAsia="仿宋" w:cs="Times New Roman"/>
                <w:color w:val="auto"/>
                <w:sz w:val="24"/>
                <w:szCs w:val="24"/>
                <w:highlight w:val="none"/>
                <w:lang w:val="en-US" w:eastAsia="zh-CN"/>
              </w:rPr>
              <w:t>及敏感点</w:t>
            </w:r>
            <w:r>
              <w:rPr>
                <w:rFonts w:hint="eastAsia" w:eastAsia="仿宋" w:cs="Times New Roman"/>
                <w:color w:val="auto"/>
                <w:sz w:val="24"/>
                <w:szCs w:val="24"/>
                <w:highlight w:val="none"/>
                <w:lang w:val="en-US" w:eastAsia="zh-CN"/>
              </w:rPr>
              <w:t>陈家头</w:t>
            </w:r>
            <w:r>
              <w:rPr>
                <w:rFonts w:hint="default" w:ascii="Times New Roman" w:hAnsi="Times New Roman" w:eastAsia="仿宋" w:cs="Times New Roman"/>
                <w:color w:val="auto"/>
                <w:sz w:val="24"/>
                <w:szCs w:val="24"/>
                <w:highlight w:val="none"/>
              </w:rPr>
              <w:t>噪声均</w:t>
            </w:r>
            <w:r>
              <w:rPr>
                <w:rFonts w:hint="eastAsia" w:eastAsia="仿宋" w:cs="Times New Roman"/>
                <w:color w:val="auto"/>
                <w:sz w:val="24"/>
                <w:szCs w:val="24"/>
                <w:highlight w:val="none"/>
                <w:lang w:val="en-US" w:eastAsia="zh-CN"/>
              </w:rPr>
              <w:t>执行</w:t>
            </w:r>
            <w:r>
              <w:rPr>
                <w:rFonts w:hint="default" w:ascii="Times New Roman" w:hAnsi="Times New Roman" w:eastAsia="仿宋" w:cs="Times New Roman"/>
                <w:color w:val="auto"/>
                <w:sz w:val="24"/>
                <w:szCs w:val="24"/>
                <w:highlight w:val="none"/>
              </w:rPr>
              <w:t>《声环境质量标准》（GB3096-2008）中的</w:t>
            </w:r>
            <w:r>
              <w:rPr>
                <w:rFonts w:hint="eastAsia"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类标准</w:t>
            </w:r>
            <w:r>
              <w:rPr>
                <w:rFonts w:hint="default" w:ascii="Times New Roman" w:hAnsi="Times New Roman"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西、南厂界</w:t>
            </w:r>
            <w:r>
              <w:rPr>
                <w:rFonts w:hint="default" w:ascii="Times New Roman" w:hAnsi="Times New Roman" w:eastAsia="仿宋" w:cs="Times New Roman"/>
                <w:color w:val="auto"/>
                <w:sz w:val="24"/>
                <w:szCs w:val="24"/>
                <w:highlight w:val="none"/>
                <w:lang w:val="en-US" w:eastAsia="zh-CN"/>
              </w:rPr>
              <w:t>噪声</w:t>
            </w:r>
            <w:r>
              <w:rPr>
                <w:rFonts w:hint="eastAsia" w:eastAsia="仿宋" w:cs="Times New Roman"/>
                <w:color w:val="auto"/>
                <w:sz w:val="24"/>
                <w:szCs w:val="24"/>
                <w:highlight w:val="none"/>
                <w:lang w:val="en-US" w:eastAsia="zh-CN"/>
              </w:rPr>
              <w:t>执行</w:t>
            </w:r>
            <w:r>
              <w:rPr>
                <w:rFonts w:hint="default" w:ascii="Times New Roman" w:hAnsi="Times New Roman" w:eastAsia="仿宋" w:cs="Times New Roman"/>
                <w:color w:val="auto"/>
                <w:sz w:val="24"/>
                <w:szCs w:val="24"/>
                <w:highlight w:val="none"/>
                <w:lang w:val="en-US" w:eastAsia="zh-CN"/>
              </w:rPr>
              <w:t>《声环境质量标准》（GB3096-2008）中的</w:t>
            </w:r>
            <w:r>
              <w:rPr>
                <w:rFonts w:hint="eastAsia" w:eastAsia="仿宋" w:cs="Times New Roman"/>
                <w:color w:val="auto"/>
                <w:sz w:val="24"/>
                <w:szCs w:val="24"/>
                <w:highlight w:val="none"/>
                <w:lang w:val="en-US" w:eastAsia="zh-CN"/>
              </w:rPr>
              <w:t>4b</w:t>
            </w:r>
            <w:r>
              <w:rPr>
                <w:rFonts w:hint="default" w:ascii="Times New Roman" w:hAnsi="Times New Roman" w:eastAsia="仿宋" w:cs="Times New Roman"/>
                <w:color w:val="auto"/>
                <w:sz w:val="24"/>
                <w:szCs w:val="24"/>
                <w:highlight w:val="none"/>
                <w:lang w:val="en-US" w:eastAsia="zh-CN"/>
              </w:rPr>
              <w:t>类标准</w:t>
            </w:r>
            <w:r>
              <w:rPr>
                <w:rFonts w:hint="default" w:ascii="Times New Roman" w:hAnsi="Times New Roman" w:eastAsia="仿宋" w:cs="Times New Roman"/>
                <w:color w:val="auto"/>
                <w:sz w:val="24"/>
                <w:szCs w:val="24"/>
                <w:highlight w:val="none"/>
              </w:rPr>
              <w:t>。</w:t>
            </w:r>
          </w:p>
          <w:p>
            <w:pPr>
              <w:pStyle w:val="2"/>
              <w:jc w:val="center"/>
              <w:rPr>
                <w:rFonts w:hint="eastAsia" w:ascii="Times New Roman" w:hAnsi="Times New Roman" w:eastAsia="仿宋" w:cs="Times New Roman"/>
                <w:b/>
                <w:bCs/>
                <w:color w:val="auto"/>
                <w:sz w:val="24"/>
                <w:szCs w:val="24"/>
                <w:highlight w:val="none"/>
                <w:lang w:val="en-US" w:eastAsia="zh-CN"/>
              </w:rPr>
            </w:pPr>
          </w:p>
          <w:p>
            <w:pPr>
              <w:pStyle w:val="2"/>
              <w:jc w:val="center"/>
              <w:rPr>
                <w:rFonts w:hint="default" w:ascii="Times New Roman" w:hAnsi="Times New Roman" w:eastAsia="仿宋" w:cs="Times New Roman"/>
                <w:b/>
                <w:bCs/>
                <w:color w:val="auto"/>
                <w:sz w:val="24"/>
                <w:szCs w:val="24"/>
                <w:highlight w:val="none"/>
              </w:rPr>
            </w:pPr>
            <w:r>
              <w:rPr>
                <w:rFonts w:hint="eastAsia" w:ascii="Times New Roman" w:hAnsi="Times New Roman" w:eastAsia="仿宋" w:cs="Times New Roman"/>
                <w:b/>
                <w:bCs/>
                <w:color w:val="auto"/>
                <w:sz w:val="24"/>
                <w:szCs w:val="24"/>
                <w:highlight w:val="none"/>
                <w:lang w:val="en-US" w:eastAsia="zh-CN"/>
              </w:rPr>
              <w:t>表3-6</w:t>
            </w:r>
            <w:r>
              <w:rPr>
                <w:rFonts w:hint="default" w:ascii="Times New Roman" w:hAnsi="Times New Roman" w:eastAsia="仿宋" w:cs="Times New Roman"/>
                <w:b/>
                <w:bCs/>
                <w:color w:val="auto"/>
                <w:sz w:val="24"/>
                <w:szCs w:val="24"/>
                <w:highlight w:val="none"/>
                <w:lang w:val="en-US" w:eastAsia="zh-CN"/>
              </w:rPr>
              <w:t xml:space="preserve"> </w:t>
            </w:r>
            <w:r>
              <w:rPr>
                <w:rFonts w:hint="eastAsia" w:ascii="Times New Roman" w:hAnsi="Times New Roman" w:eastAsia="仿宋" w:cs="Times New Roman"/>
                <w:b/>
                <w:bCs/>
                <w:color w:val="auto"/>
                <w:sz w:val="24"/>
                <w:szCs w:val="24"/>
                <w:highlight w:val="none"/>
                <w:lang w:val="en-US" w:eastAsia="zh-CN"/>
              </w:rPr>
              <w:t>《</w:t>
            </w:r>
            <w:r>
              <w:rPr>
                <w:rFonts w:hint="default" w:ascii="Times New Roman" w:hAnsi="Times New Roman" w:eastAsia="仿宋" w:cs="Times New Roman"/>
                <w:b/>
                <w:bCs/>
                <w:color w:val="auto"/>
                <w:sz w:val="24"/>
                <w:szCs w:val="24"/>
                <w:highlight w:val="none"/>
                <w:lang w:val="en-US" w:eastAsia="zh-CN"/>
              </w:rPr>
              <w:t>声环境质量标准》（GB3096-2008）</w:t>
            </w:r>
            <w:r>
              <w:rPr>
                <w:rFonts w:hint="default" w:ascii="Times New Roman" w:hAnsi="Times New Roman" w:eastAsia="仿宋" w:cs="Times New Roman"/>
                <w:b/>
                <w:bCs/>
                <w:color w:val="auto"/>
                <w:sz w:val="24"/>
                <w:szCs w:val="24"/>
                <w:highlight w:val="none"/>
              </w:rPr>
              <w:t>：dB（A）</w:t>
            </w:r>
          </w:p>
          <w:tbl>
            <w:tblPr>
              <w:tblStyle w:val="18"/>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9"/>
              <w:gridCol w:w="2760"/>
              <w:gridCol w:w="2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759" w:type="dxa"/>
                </w:tcPr>
                <w:p>
                  <w:pPr>
                    <w:pStyle w:val="2"/>
                    <w:jc w:val="center"/>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ascii="Times New Roman" w:hAnsi="Times New Roman" w:eastAsia="仿宋" w:cs="Times New Roman"/>
                      <w:b w:val="0"/>
                      <w:bCs w:val="0"/>
                      <w:color w:val="auto"/>
                      <w:sz w:val="21"/>
                      <w:szCs w:val="21"/>
                      <w:highlight w:val="none"/>
                      <w:vertAlign w:val="baseline"/>
                      <w:lang w:val="en-US" w:eastAsia="zh-CN"/>
                    </w:rPr>
                    <w:t>等级</w:t>
                  </w:r>
                </w:p>
              </w:tc>
              <w:tc>
                <w:tcPr>
                  <w:tcW w:w="2760" w:type="dxa"/>
                </w:tcPr>
                <w:p>
                  <w:pPr>
                    <w:pStyle w:val="2"/>
                    <w:jc w:val="center"/>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ascii="Times New Roman" w:hAnsi="Times New Roman" w:eastAsia="仿宋" w:cs="Times New Roman"/>
                      <w:b w:val="0"/>
                      <w:bCs w:val="0"/>
                      <w:color w:val="auto"/>
                      <w:sz w:val="21"/>
                      <w:szCs w:val="21"/>
                      <w:highlight w:val="none"/>
                      <w:vertAlign w:val="baseline"/>
                      <w:lang w:val="en-US" w:eastAsia="zh-CN"/>
                    </w:rPr>
                    <w:t>昼间</w:t>
                  </w:r>
                </w:p>
              </w:tc>
              <w:tc>
                <w:tcPr>
                  <w:tcW w:w="2760" w:type="dxa"/>
                </w:tcPr>
                <w:p>
                  <w:pPr>
                    <w:pStyle w:val="2"/>
                    <w:jc w:val="center"/>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ascii="Times New Roman" w:hAnsi="Times New Roman" w:eastAsia="仿宋" w:cs="Times New Roman"/>
                      <w:b w:val="0"/>
                      <w:bCs w:val="0"/>
                      <w:color w:val="auto"/>
                      <w:sz w:val="21"/>
                      <w:szCs w:val="21"/>
                      <w:highlight w:val="none"/>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9" w:type="dxa"/>
                </w:tcPr>
                <w:p>
                  <w:pPr>
                    <w:pStyle w:val="2"/>
                    <w:jc w:val="center"/>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ascii="Times New Roman" w:hAnsi="Times New Roman" w:eastAsia="仿宋" w:cs="Times New Roman"/>
                      <w:b w:val="0"/>
                      <w:bCs w:val="0"/>
                      <w:color w:val="auto"/>
                      <w:sz w:val="21"/>
                      <w:szCs w:val="21"/>
                      <w:highlight w:val="none"/>
                      <w:vertAlign w:val="baseline"/>
                      <w:lang w:val="en-US" w:eastAsia="zh-CN"/>
                    </w:rPr>
                    <w:t>2类</w:t>
                  </w:r>
                </w:p>
              </w:tc>
              <w:tc>
                <w:tcPr>
                  <w:tcW w:w="2760" w:type="dxa"/>
                </w:tcPr>
                <w:p>
                  <w:pPr>
                    <w:pStyle w:val="2"/>
                    <w:jc w:val="center"/>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ascii="Times New Roman" w:hAnsi="Times New Roman" w:eastAsia="仿宋" w:cs="Times New Roman"/>
                      <w:b w:val="0"/>
                      <w:bCs w:val="0"/>
                      <w:color w:val="auto"/>
                      <w:sz w:val="21"/>
                      <w:szCs w:val="21"/>
                      <w:highlight w:val="none"/>
                      <w:vertAlign w:val="baseline"/>
                      <w:lang w:val="en-US" w:eastAsia="zh-CN"/>
                    </w:rPr>
                    <w:t>60</w:t>
                  </w:r>
                </w:p>
              </w:tc>
              <w:tc>
                <w:tcPr>
                  <w:tcW w:w="2760" w:type="dxa"/>
                </w:tcPr>
                <w:p>
                  <w:pPr>
                    <w:pStyle w:val="2"/>
                    <w:jc w:val="center"/>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ascii="Times New Roman" w:hAnsi="Times New Roman" w:eastAsia="仿宋" w:cs="Times New Roman"/>
                      <w:b w:val="0"/>
                      <w:bCs w:val="0"/>
                      <w:color w:val="auto"/>
                      <w:sz w:val="21"/>
                      <w:szCs w:val="21"/>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9" w:type="dxa"/>
                </w:tcPr>
                <w:p>
                  <w:pPr>
                    <w:pStyle w:val="2"/>
                    <w:jc w:val="center"/>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ascii="Times New Roman" w:hAnsi="Times New Roman" w:eastAsia="仿宋" w:cs="Times New Roman"/>
                      <w:b w:val="0"/>
                      <w:bCs w:val="0"/>
                      <w:color w:val="auto"/>
                      <w:sz w:val="21"/>
                      <w:szCs w:val="21"/>
                      <w:highlight w:val="none"/>
                      <w:vertAlign w:val="baseline"/>
                      <w:lang w:val="en-US" w:eastAsia="zh-CN"/>
                    </w:rPr>
                    <w:t>4b类</w:t>
                  </w:r>
                </w:p>
              </w:tc>
              <w:tc>
                <w:tcPr>
                  <w:tcW w:w="2760" w:type="dxa"/>
                </w:tcPr>
                <w:p>
                  <w:pPr>
                    <w:pStyle w:val="2"/>
                    <w:jc w:val="center"/>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ascii="Times New Roman" w:hAnsi="Times New Roman" w:eastAsia="仿宋" w:cs="Times New Roman"/>
                      <w:b w:val="0"/>
                      <w:bCs w:val="0"/>
                      <w:color w:val="auto"/>
                      <w:sz w:val="21"/>
                      <w:szCs w:val="21"/>
                      <w:highlight w:val="none"/>
                      <w:vertAlign w:val="baseline"/>
                      <w:lang w:val="en-US" w:eastAsia="zh-CN"/>
                    </w:rPr>
                    <w:t>75</w:t>
                  </w:r>
                </w:p>
              </w:tc>
              <w:tc>
                <w:tcPr>
                  <w:tcW w:w="2760" w:type="dxa"/>
                </w:tcPr>
                <w:p>
                  <w:pPr>
                    <w:pStyle w:val="2"/>
                    <w:jc w:val="center"/>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ascii="Times New Roman" w:hAnsi="Times New Roman" w:eastAsia="仿宋" w:cs="Times New Roman"/>
                      <w:b w:val="0"/>
                      <w:bCs w:val="0"/>
                      <w:color w:val="auto"/>
                      <w:sz w:val="21"/>
                      <w:szCs w:val="21"/>
                      <w:highlight w:val="none"/>
                      <w:vertAlign w:val="baseline"/>
                      <w:lang w:val="en-US" w:eastAsia="zh-CN"/>
                    </w:rPr>
                    <w:t>55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为了解项目所在地声环境质量现状，</w:t>
            </w:r>
            <w:r>
              <w:rPr>
                <w:rFonts w:hint="eastAsia" w:eastAsia="仿宋" w:cs="Times New Roman"/>
                <w:kern w:val="0"/>
                <w:sz w:val="24"/>
                <w:szCs w:val="24"/>
                <w:lang w:val="en-US" w:eastAsia="zh-CN"/>
              </w:rPr>
              <w:t>青山绿水（江苏）检验</w:t>
            </w:r>
            <w:r>
              <w:rPr>
                <w:rFonts w:hint="eastAsia" w:ascii="Times New Roman" w:hAnsi="Times New Roman" w:eastAsia="仿宋" w:cs="Times New Roman"/>
                <w:kern w:val="0"/>
                <w:sz w:val="24"/>
                <w:szCs w:val="24"/>
                <w:lang w:val="en-US" w:eastAsia="zh-CN"/>
              </w:rPr>
              <w:t>检测有限公司</w:t>
            </w:r>
            <w:r>
              <w:rPr>
                <w:rFonts w:hint="default" w:ascii="Times New Roman" w:hAnsi="Times New Roman" w:eastAsia="仿宋" w:cs="Times New Roman"/>
                <w:color w:val="auto"/>
                <w:sz w:val="24"/>
                <w:szCs w:val="24"/>
                <w:highlight w:val="none"/>
              </w:rPr>
              <w:t>于20</w:t>
            </w:r>
            <w:r>
              <w:rPr>
                <w:rFonts w:hint="default" w:ascii="Times New Roman" w:hAnsi="Times New Roman" w:eastAsia="仿宋" w:cs="Times New Roman"/>
                <w:color w:val="auto"/>
                <w:sz w:val="24"/>
                <w:szCs w:val="24"/>
                <w:highlight w:val="none"/>
                <w:lang w:eastAsia="zh-CN"/>
              </w:rPr>
              <w:t>2</w:t>
            </w:r>
            <w:r>
              <w:rPr>
                <w:rFonts w:hint="eastAsia"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年</w:t>
            </w:r>
            <w:r>
              <w:rPr>
                <w:rFonts w:hint="eastAsia" w:eastAsia="仿宋" w:cs="Times New Roman"/>
                <w:color w:val="auto"/>
                <w:sz w:val="24"/>
                <w:szCs w:val="24"/>
                <w:highlight w:val="none"/>
                <w:lang w:val="en-US" w:eastAsia="zh-CN"/>
              </w:rPr>
              <w:t>03</w:t>
            </w:r>
            <w:r>
              <w:rPr>
                <w:rFonts w:hint="default" w:ascii="Times New Roman" w:hAnsi="Times New Roman" w:eastAsia="仿宋" w:cs="Times New Roman"/>
                <w:color w:val="auto"/>
                <w:sz w:val="24"/>
                <w:szCs w:val="24"/>
                <w:highlight w:val="none"/>
              </w:rPr>
              <w:t>月</w:t>
            </w:r>
            <w:r>
              <w:rPr>
                <w:rFonts w:hint="eastAsia" w:eastAsia="仿宋" w:cs="Times New Roman"/>
                <w:color w:val="auto"/>
                <w:sz w:val="24"/>
                <w:szCs w:val="24"/>
                <w:highlight w:val="none"/>
                <w:lang w:val="en-US" w:eastAsia="zh-CN"/>
              </w:rPr>
              <w:t>09</w:t>
            </w:r>
            <w:r>
              <w:rPr>
                <w:rFonts w:hint="default" w:ascii="Times New Roman" w:hAnsi="Times New Roman" w:eastAsia="仿宋" w:cs="Times New Roman"/>
                <w:color w:val="auto"/>
                <w:sz w:val="24"/>
                <w:szCs w:val="24"/>
                <w:highlight w:val="none"/>
              </w:rPr>
              <w:t>日-</w:t>
            </w:r>
            <w:r>
              <w:rPr>
                <w:rFonts w:hint="eastAsia" w:eastAsia="仿宋" w:cs="Times New Roman"/>
                <w:color w:val="auto"/>
                <w:sz w:val="24"/>
                <w:szCs w:val="24"/>
                <w:highlight w:val="none"/>
                <w:lang w:val="en-US" w:eastAsia="zh-CN"/>
              </w:rPr>
              <w:t>03</w:t>
            </w:r>
            <w:r>
              <w:rPr>
                <w:rFonts w:hint="default" w:ascii="Times New Roman" w:hAnsi="Times New Roman" w:eastAsia="仿宋" w:cs="Times New Roman"/>
                <w:color w:val="auto"/>
                <w:sz w:val="24"/>
                <w:szCs w:val="24"/>
                <w:highlight w:val="none"/>
              </w:rPr>
              <w:t>月</w:t>
            </w:r>
            <w:r>
              <w:rPr>
                <w:rFonts w:hint="eastAsia" w:eastAsia="仿宋" w:cs="Times New Roman"/>
                <w:color w:val="auto"/>
                <w:sz w:val="24"/>
                <w:szCs w:val="24"/>
                <w:highlight w:val="none"/>
                <w:lang w:val="en-US" w:eastAsia="zh-CN"/>
              </w:rPr>
              <w:t>10</w:t>
            </w:r>
            <w:r>
              <w:rPr>
                <w:rFonts w:hint="default" w:ascii="Times New Roman" w:hAnsi="Times New Roman" w:eastAsia="仿宋" w:cs="Times New Roman"/>
                <w:color w:val="auto"/>
                <w:sz w:val="24"/>
                <w:szCs w:val="24"/>
                <w:highlight w:val="none"/>
              </w:rPr>
              <w:t>日对项目厂界四周</w:t>
            </w:r>
            <w:r>
              <w:rPr>
                <w:rFonts w:hint="default" w:ascii="Times New Roman" w:hAnsi="Times New Roman" w:eastAsia="仿宋" w:cs="Times New Roman"/>
                <w:color w:val="auto"/>
                <w:sz w:val="24"/>
                <w:szCs w:val="24"/>
                <w:highlight w:val="none"/>
                <w:lang w:val="en-US" w:eastAsia="zh-CN"/>
              </w:rPr>
              <w:t>及敏感点</w:t>
            </w:r>
            <w:r>
              <w:rPr>
                <w:rFonts w:hint="default" w:ascii="Times New Roman" w:hAnsi="Times New Roman" w:eastAsia="仿宋" w:cs="Times New Roman"/>
                <w:color w:val="auto"/>
                <w:sz w:val="24"/>
                <w:szCs w:val="24"/>
                <w:highlight w:val="none"/>
              </w:rPr>
              <w:t>（监测点位见附图2）进行的现场噪声监测，报告号：</w:t>
            </w:r>
            <w:r>
              <w:rPr>
                <w:rFonts w:hint="eastAsia" w:eastAsia="仿宋" w:cs="Times New Roman"/>
                <w:color w:val="auto"/>
                <w:sz w:val="24"/>
                <w:szCs w:val="24"/>
                <w:highlight w:val="none"/>
                <w:lang w:val="en-US" w:eastAsia="zh-CN"/>
              </w:rPr>
              <w:t>CQHH210137</w:t>
            </w:r>
            <w:r>
              <w:rPr>
                <w:rFonts w:hint="default" w:ascii="Times New Roman" w:hAnsi="Times New Roman" w:eastAsia="仿宋" w:cs="Times New Roman"/>
                <w:color w:val="auto"/>
                <w:sz w:val="24"/>
                <w:szCs w:val="24"/>
                <w:highlight w:val="none"/>
              </w:rPr>
              <w:t>，监测结果见</w:t>
            </w:r>
            <w:r>
              <w:rPr>
                <w:rFonts w:hint="eastAsia" w:eastAsia="仿宋" w:cs="Times New Roman"/>
                <w:color w:val="auto"/>
                <w:sz w:val="24"/>
                <w:szCs w:val="24"/>
                <w:highlight w:val="none"/>
                <w:lang w:val="en-US" w:eastAsia="zh-CN"/>
              </w:rPr>
              <w:t>下表</w:t>
            </w:r>
            <w:r>
              <w:rPr>
                <w:rFonts w:hint="default" w:ascii="Times New Roman" w:hAnsi="Times New Roman" w:eastAsia="仿宋" w:cs="Times New Roman"/>
                <w:color w:val="auto"/>
                <w:sz w:val="24"/>
                <w:szCs w:val="24"/>
                <w:highlight w:val="none"/>
              </w:rPr>
              <w:t>。</w:t>
            </w:r>
          </w:p>
          <w:p>
            <w:pPr>
              <w:autoSpaceDE w:val="0"/>
              <w:autoSpaceDN w:val="0"/>
              <w:ind w:firstLine="480"/>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表3-</w:t>
            </w:r>
            <w:r>
              <w:rPr>
                <w:rFonts w:hint="eastAsia" w:eastAsia="仿宋" w:cs="Times New Roman"/>
                <w:b/>
                <w:color w:val="auto"/>
                <w:sz w:val="24"/>
                <w:szCs w:val="24"/>
                <w:highlight w:val="none"/>
                <w:lang w:val="en-US" w:eastAsia="zh-CN"/>
              </w:rPr>
              <w:t>7</w:t>
            </w:r>
            <w:r>
              <w:rPr>
                <w:rFonts w:hint="default" w:ascii="Times New Roman" w:hAnsi="Times New Roman" w:eastAsia="仿宋" w:cs="Times New Roman"/>
                <w:b/>
                <w:color w:val="auto"/>
                <w:sz w:val="24"/>
                <w:szCs w:val="24"/>
                <w:highlight w:val="none"/>
                <w:lang w:val="en-US" w:eastAsia="zh-CN"/>
              </w:rPr>
              <w:t xml:space="preserve"> </w:t>
            </w:r>
            <w:r>
              <w:rPr>
                <w:rFonts w:hint="default" w:ascii="Times New Roman" w:hAnsi="Times New Roman" w:eastAsia="仿宋" w:cs="Times New Roman"/>
                <w:b/>
                <w:color w:val="auto"/>
                <w:sz w:val="24"/>
                <w:szCs w:val="24"/>
                <w:highlight w:val="none"/>
              </w:rPr>
              <w:t>噪声现状监测结果统计表单位：dB（A）</w:t>
            </w:r>
          </w:p>
          <w:tbl>
            <w:tblPr>
              <w:tblStyle w:val="18"/>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1109"/>
              <w:gridCol w:w="1110"/>
              <w:gridCol w:w="1111"/>
              <w:gridCol w:w="1115"/>
              <w:gridCol w:w="1111"/>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vMerge w:val="restart"/>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监测点位置</w:t>
                  </w:r>
                </w:p>
              </w:tc>
              <w:tc>
                <w:tcPr>
                  <w:tcW w:w="6668" w:type="dxa"/>
                  <w:gridSpan w:val="6"/>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检测结果（单位LeqdB（A））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vMerge w:val="continue"/>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2219" w:type="dxa"/>
                  <w:gridSpan w:val="2"/>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20</w:t>
                  </w:r>
                  <w:r>
                    <w:rPr>
                      <w:rFonts w:hint="default" w:ascii="Times New Roman" w:hAnsi="Times New Roman" w:eastAsia="仿宋" w:cs="Times New Roman"/>
                      <w:color w:val="auto"/>
                      <w:sz w:val="21"/>
                      <w:szCs w:val="21"/>
                      <w:highlight w:val="none"/>
                      <w:lang w:eastAsia="zh-CN"/>
                    </w:rPr>
                    <w:t>2</w:t>
                  </w:r>
                  <w:r>
                    <w:rPr>
                      <w:rFonts w:hint="eastAsia" w:eastAsia="仿宋" w:cs="Times New Roman"/>
                      <w:color w:val="auto"/>
                      <w:sz w:val="21"/>
                      <w:szCs w:val="21"/>
                      <w:highlight w:val="none"/>
                      <w:lang w:val="en-US" w:eastAsia="zh-CN"/>
                    </w:rPr>
                    <w:t>1</w:t>
                  </w:r>
                  <w:r>
                    <w:rPr>
                      <w:rFonts w:hint="default" w:ascii="Times New Roman" w:hAnsi="Times New Roman" w:eastAsia="仿宋" w:cs="Times New Roman"/>
                      <w:color w:val="auto"/>
                      <w:sz w:val="21"/>
                      <w:szCs w:val="21"/>
                      <w:highlight w:val="none"/>
                    </w:rPr>
                    <w:t>年</w:t>
                  </w:r>
                  <w:r>
                    <w:rPr>
                      <w:rFonts w:hint="eastAsia" w:eastAsia="仿宋" w:cs="Times New Roman"/>
                      <w:color w:val="auto"/>
                      <w:sz w:val="21"/>
                      <w:szCs w:val="21"/>
                      <w:highlight w:val="none"/>
                      <w:lang w:val="en-US" w:eastAsia="zh-CN"/>
                    </w:rPr>
                    <w:t>03</w:t>
                  </w:r>
                  <w:r>
                    <w:rPr>
                      <w:rFonts w:hint="default" w:ascii="Times New Roman" w:hAnsi="Times New Roman" w:eastAsia="仿宋" w:cs="Times New Roman"/>
                      <w:color w:val="auto"/>
                      <w:sz w:val="21"/>
                      <w:szCs w:val="21"/>
                      <w:highlight w:val="none"/>
                    </w:rPr>
                    <w:t>月</w:t>
                  </w:r>
                  <w:r>
                    <w:rPr>
                      <w:rFonts w:hint="eastAsia" w:eastAsia="仿宋" w:cs="Times New Roman"/>
                      <w:color w:val="auto"/>
                      <w:sz w:val="21"/>
                      <w:szCs w:val="21"/>
                      <w:highlight w:val="none"/>
                      <w:lang w:val="en-US" w:eastAsia="zh-CN"/>
                    </w:rPr>
                    <w:t>09</w:t>
                  </w:r>
                  <w:r>
                    <w:rPr>
                      <w:rFonts w:hint="default" w:ascii="Times New Roman" w:hAnsi="Times New Roman" w:eastAsia="仿宋" w:cs="Times New Roman"/>
                      <w:color w:val="auto"/>
                      <w:sz w:val="21"/>
                      <w:szCs w:val="21"/>
                      <w:highlight w:val="none"/>
                    </w:rPr>
                    <w:t>日</w:t>
                  </w:r>
                </w:p>
              </w:tc>
              <w:tc>
                <w:tcPr>
                  <w:tcW w:w="2226" w:type="dxa"/>
                  <w:gridSpan w:val="2"/>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20</w:t>
                  </w:r>
                  <w:r>
                    <w:rPr>
                      <w:rFonts w:hint="default" w:ascii="Times New Roman" w:hAnsi="Times New Roman" w:eastAsia="仿宋" w:cs="Times New Roman"/>
                      <w:color w:val="auto"/>
                      <w:sz w:val="21"/>
                      <w:szCs w:val="21"/>
                      <w:highlight w:val="none"/>
                      <w:lang w:eastAsia="zh-CN"/>
                    </w:rPr>
                    <w:t>2</w:t>
                  </w:r>
                  <w:r>
                    <w:rPr>
                      <w:rFonts w:hint="eastAsia" w:eastAsia="仿宋" w:cs="Times New Roman"/>
                      <w:color w:val="auto"/>
                      <w:sz w:val="21"/>
                      <w:szCs w:val="21"/>
                      <w:highlight w:val="none"/>
                      <w:lang w:val="en-US" w:eastAsia="zh-CN"/>
                    </w:rPr>
                    <w:t>1</w:t>
                  </w:r>
                  <w:r>
                    <w:rPr>
                      <w:rFonts w:hint="default" w:ascii="Times New Roman" w:hAnsi="Times New Roman" w:eastAsia="仿宋" w:cs="Times New Roman"/>
                      <w:color w:val="auto"/>
                      <w:sz w:val="21"/>
                      <w:szCs w:val="21"/>
                      <w:highlight w:val="none"/>
                    </w:rPr>
                    <w:t>年</w:t>
                  </w:r>
                  <w:r>
                    <w:rPr>
                      <w:rFonts w:hint="eastAsia" w:eastAsia="仿宋" w:cs="Times New Roman"/>
                      <w:color w:val="auto"/>
                      <w:sz w:val="21"/>
                      <w:szCs w:val="21"/>
                      <w:highlight w:val="none"/>
                      <w:lang w:val="en-US" w:eastAsia="zh-CN"/>
                    </w:rPr>
                    <w:t>03</w:t>
                  </w:r>
                  <w:r>
                    <w:rPr>
                      <w:rFonts w:hint="default" w:ascii="Times New Roman" w:hAnsi="Times New Roman" w:eastAsia="仿宋" w:cs="Times New Roman"/>
                      <w:color w:val="auto"/>
                      <w:sz w:val="21"/>
                      <w:szCs w:val="21"/>
                      <w:highlight w:val="none"/>
                    </w:rPr>
                    <w:t>月</w:t>
                  </w:r>
                  <w:r>
                    <w:rPr>
                      <w:rFonts w:hint="eastAsia" w:eastAsia="仿宋" w:cs="Times New Roman"/>
                      <w:color w:val="auto"/>
                      <w:sz w:val="21"/>
                      <w:szCs w:val="21"/>
                      <w:highlight w:val="none"/>
                      <w:lang w:val="en-US" w:eastAsia="zh-CN"/>
                    </w:rPr>
                    <w:t>10</w:t>
                  </w:r>
                  <w:r>
                    <w:rPr>
                      <w:rFonts w:hint="default" w:ascii="Times New Roman" w:hAnsi="Times New Roman" w:eastAsia="仿宋" w:cs="Times New Roman"/>
                      <w:color w:val="auto"/>
                      <w:sz w:val="21"/>
                      <w:szCs w:val="21"/>
                      <w:highlight w:val="none"/>
                    </w:rPr>
                    <w:t>日</w:t>
                  </w:r>
                </w:p>
              </w:tc>
              <w:tc>
                <w:tcPr>
                  <w:tcW w:w="2223" w:type="dxa"/>
                  <w:gridSpan w:val="2"/>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vMerge w:val="continue"/>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1109" w:type="dxa"/>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昼间</w:t>
                  </w:r>
                </w:p>
              </w:tc>
              <w:tc>
                <w:tcPr>
                  <w:tcW w:w="1110" w:type="dxa"/>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夜间</w:t>
                  </w:r>
                </w:p>
              </w:tc>
              <w:tc>
                <w:tcPr>
                  <w:tcW w:w="1111" w:type="dxa"/>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昼间</w:t>
                  </w:r>
                </w:p>
              </w:tc>
              <w:tc>
                <w:tcPr>
                  <w:tcW w:w="1115" w:type="dxa"/>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夜间</w:t>
                  </w:r>
                </w:p>
              </w:tc>
              <w:tc>
                <w:tcPr>
                  <w:tcW w:w="1111" w:type="dxa"/>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昼间</w:t>
                  </w:r>
                </w:p>
              </w:tc>
              <w:tc>
                <w:tcPr>
                  <w:tcW w:w="1112" w:type="dxa"/>
                  <w:vAlign w:val="top"/>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N1东厂界外1米</w:t>
                  </w:r>
                </w:p>
              </w:tc>
              <w:tc>
                <w:tcPr>
                  <w:tcW w:w="1109"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58</w:t>
                  </w:r>
                </w:p>
              </w:tc>
              <w:tc>
                <w:tcPr>
                  <w:tcW w:w="1110"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47</w:t>
                  </w:r>
                </w:p>
              </w:tc>
              <w:tc>
                <w:tcPr>
                  <w:tcW w:w="1111"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58</w:t>
                  </w:r>
                </w:p>
              </w:tc>
              <w:tc>
                <w:tcPr>
                  <w:tcW w:w="1115"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48</w:t>
                  </w:r>
                </w:p>
              </w:tc>
              <w:tc>
                <w:tcPr>
                  <w:tcW w:w="1111"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60</w:t>
                  </w:r>
                </w:p>
              </w:tc>
              <w:tc>
                <w:tcPr>
                  <w:tcW w:w="1112"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N2南厂界外1米</w:t>
                  </w:r>
                </w:p>
              </w:tc>
              <w:tc>
                <w:tcPr>
                  <w:tcW w:w="1109"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63</w:t>
                  </w:r>
                </w:p>
              </w:tc>
              <w:tc>
                <w:tcPr>
                  <w:tcW w:w="1110"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52</w:t>
                  </w:r>
                </w:p>
              </w:tc>
              <w:tc>
                <w:tcPr>
                  <w:tcW w:w="1111"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65</w:t>
                  </w:r>
                </w:p>
              </w:tc>
              <w:tc>
                <w:tcPr>
                  <w:tcW w:w="1115"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53</w:t>
                  </w:r>
                </w:p>
              </w:tc>
              <w:tc>
                <w:tcPr>
                  <w:tcW w:w="1111"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75</w:t>
                  </w:r>
                </w:p>
              </w:tc>
              <w:tc>
                <w:tcPr>
                  <w:tcW w:w="1112"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N3西厂界外1米</w:t>
                  </w:r>
                </w:p>
              </w:tc>
              <w:tc>
                <w:tcPr>
                  <w:tcW w:w="1109"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65</w:t>
                  </w:r>
                </w:p>
              </w:tc>
              <w:tc>
                <w:tcPr>
                  <w:tcW w:w="1110"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49</w:t>
                  </w:r>
                </w:p>
              </w:tc>
              <w:tc>
                <w:tcPr>
                  <w:tcW w:w="1111"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60</w:t>
                  </w:r>
                </w:p>
              </w:tc>
              <w:tc>
                <w:tcPr>
                  <w:tcW w:w="1115"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50</w:t>
                  </w:r>
                </w:p>
              </w:tc>
              <w:tc>
                <w:tcPr>
                  <w:tcW w:w="1111"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75</w:t>
                  </w:r>
                </w:p>
              </w:tc>
              <w:tc>
                <w:tcPr>
                  <w:tcW w:w="1112"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666" w:type="dxa"/>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N4北厂界外1米</w:t>
                  </w:r>
                </w:p>
              </w:tc>
              <w:tc>
                <w:tcPr>
                  <w:tcW w:w="1109"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58</w:t>
                  </w:r>
                </w:p>
              </w:tc>
              <w:tc>
                <w:tcPr>
                  <w:tcW w:w="1110"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49</w:t>
                  </w:r>
                </w:p>
              </w:tc>
              <w:tc>
                <w:tcPr>
                  <w:tcW w:w="1111"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default" w:ascii="Times New Roman" w:hAnsi="Times New Roman" w:eastAsia="仿宋" w:cs="Times New Roman"/>
                      <w:color w:val="auto"/>
                      <w:kern w:val="0"/>
                      <w:sz w:val="21"/>
                      <w:szCs w:val="21"/>
                      <w:highlight w:val="none"/>
                      <w:u w:val="none"/>
                      <w:lang w:val="en-US" w:eastAsia="zh-CN" w:bidi="ar"/>
                    </w:rPr>
                    <w:t>5</w:t>
                  </w:r>
                  <w:r>
                    <w:rPr>
                      <w:rFonts w:hint="eastAsia" w:eastAsia="仿宋" w:cs="Times New Roman"/>
                      <w:color w:val="auto"/>
                      <w:kern w:val="0"/>
                      <w:sz w:val="21"/>
                      <w:szCs w:val="21"/>
                      <w:highlight w:val="none"/>
                      <w:u w:val="none"/>
                      <w:lang w:val="en-US" w:eastAsia="zh-CN" w:bidi="ar"/>
                    </w:rPr>
                    <w:t>9</w:t>
                  </w:r>
                </w:p>
              </w:tc>
              <w:tc>
                <w:tcPr>
                  <w:tcW w:w="1115"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45</w:t>
                  </w:r>
                </w:p>
              </w:tc>
              <w:tc>
                <w:tcPr>
                  <w:tcW w:w="1111"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60</w:t>
                  </w:r>
                </w:p>
              </w:tc>
              <w:tc>
                <w:tcPr>
                  <w:tcW w:w="1112" w:type="dxa"/>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eastAsia="zh-CN"/>
                    </w:rPr>
                    <w:t>N5敏感点</w:t>
                  </w:r>
                  <w:r>
                    <w:rPr>
                      <w:rFonts w:hint="eastAsia" w:eastAsia="仿宋" w:cs="Times New Roman"/>
                      <w:color w:val="auto"/>
                      <w:sz w:val="21"/>
                      <w:szCs w:val="21"/>
                      <w:highlight w:val="none"/>
                      <w:lang w:val="en-US" w:eastAsia="zh-CN"/>
                    </w:rPr>
                    <w:t>陈家头</w:t>
                  </w:r>
                </w:p>
              </w:tc>
              <w:tc>
                <w:tcPr>
                  <w:tcW w:w="1109" w:type="dxa"/>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i w:val="0"/>
                      <w:color w:val="auto"/>
                      <w:kern w:val="0"/>
                      <w:sz w:val="21"/>
                      <w:szCs w:val="21"/>
                      <w:highlight w:val="none"/>
                      <w:u w:val="none"/>
                      <w:lang w:val="en-US" w:eastAsia="zh-CN" w:bidi="ar"/>
                    </w:rPr>
                  </w:pPr>
                  <w:r>
                    <w:rPr>
                      <w:rFonts w:hint="eastAsia" w:eastAsia="仿宋" w:cs="Times New Roman"/>
                      <w:i w:val="0"/>
                      <w:color w:val="auto"/>
                      <w:kern w:val="0"/>
                      <w:sz w:val="21"/>
                      <w:szCs w:val="21"/>
                      <w:highlight w:val="none"/>
                      <w:u w:val="none"/>
                      <w:lang w:val="en-US" w:eastAsia="zh-CN" w:bidi="ar"/>
                    </w:rPr>
                    <w:t>48</w:t>
                  </w:r>
                </w:p>
              </w:tc>
              <w:tc>
                <w:tcPr>
                  <w:tcW w:w="1110" w:type="dxa"/>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i w:val="0"/>
                      <w:color w:val="auto"/>
                      <w:kern w:val="0"/>
                      <w:sz w:val="21"/>
                      <w:szCs w:val="21"/>
                      <w:highlight w:val="none"/>
                      <w:u w:val="none"/>
                      <w:lang w:val="en-US" w:eastAsia="zh-CN" w:bidi="ar"/>
                    </w:rPr>
                  </w:pPr>
                  <w:r>
                    <w:rPr>
                      <w:rFonts w:hint="eastAsia" w:eastAsia="仿宋" w:cs="Times New Roman"/>
                      <w:i w:val="0"/>
                      <w:color w:val="auto"/>
                      <w:kern w:val="0"/>
                      <w:sz w:val="21"/>
                      <w:szCs w:val="21"/>
                      <w:highlight w:val="none"/>
                      <w:u w:val="none"/>
                      <w:lang w:val="en-US" w:eastAsia="zh-CN" w:bidi="ar"/>
                    </w:rPr>
                    <w:t>41</w:t>
                  </w:r>
                </w:p>
              </w:tc>
              <w:tc>
                <w:tcPr>
                  <w:tcW w:w="1111" w:type="dxa"/>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i w:val="0"/>
                      <w:color w:val="auto"/>
                      <w:kern w:val="0"/>
                      <w:sz w:val="21"/>
                      <w:szCs w:val="21"/>
                      <w:highlight w:val="none"/>
                      <w:u w:val="none"/>
                      <w:lang w:val="en-US" w:eastAsia="zh-CN" w:bidi="ar"/>
                    </w:rPr>
                  </w:pPr>
                  <w:r>
                    <w:rPr>
                      <w:rFonts w:hint="eastAsia" w:eastAsia="仿宋" w:cs="Times New Roman"/>
                      <w:i w:val="0"/>
                      <w:color w:val="auto"/>
                      <w:kern w:val="0"/>
                      <w:sz w:val="21"/>
                      <w:szCs w:val="21"/>
                      <w:highlight w:val="none"/>
                      <w:u w:val="none"/>
                      <w:lang w:val="en-US" w:eastAsia="zh-CN" w:bidi="ar"/>
                    </w:rPr>
                    <w:t>49</w:t>
                  </w:r>
                </w:p>
              </w:tc>
              <w:tc>
                <w:tcPr>
                  <w:tcW w:w="1115" w:type="dxa"/>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仿宋" w:cs="Times New Roman"/>
                      <w:i w:val="0"/>
                      <w:color w:val="auto"/>
                      <w:kern w:val="0"/>
                      <w:sz w:val="21"/>
                      <w:szCs w:val="21"/>
                      <w:highlight w:val="none"/>
                      <w:u w:val="none"/>
                      <w:lang w:val="en-US" w:eastAsia="zh-CN" w:bidi="ar"/>
                    </w:rPr>
                  </w:pPr>
                  <w:r>
                    <w:rPr>
                      <w:rFonts w:hint="eastAsia" w:eastAsia="仿宋" w:cs="Times New Roman"/>
                      <w:i w:val="0"/>
                      <w:color w:val="auto"/>
                      <w:kern w:val="0"/>
                      <w:sz w:val="21"/>
                      <w:szCs w:val="21"/>
                      <w:highlight w:val="none"/>
                      <w:u w:val="none"/>
                      <w:lang w:val="en-US" w:eastAsia="zh-CN" w:bidi="ar"/>
                    </w:rPr>
                    <w:t>36</w:t>
                  </w:r>
                </w:p>
              </w:tc>
              <w:tc>
                <w:tcPr>
                  <w:tcW w:w="1111" w:type="dxa"/>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eastAsia="仿宋" w:cs="Times New Roman"/>
                      <w:i w:val="0"/>
                      <w:color w:val="auto"/>
                      <w:kern w:val="0"/>
                      <w:sz w:val="21"/>
                      <w:szCs w:val="21"/>
                      <w:highlight w:val="none"/>
                      <w:u w:val="none"/>
                      <w:lang w:val="en-US" w:eastAsia="zh-CN" w:bidi="ar"/>
                    </w:rPr>
                  </w:pPr>
                  <w:r>
                    <w:rPr>
                      <w:rFonts w:hint="eastAsia" w:eastAsia="仿宋" w:cs="Times New Roman"/>
                      <w:i w:val="0"/>
                      <w:color w:val="auto"/>
                      <w:kern w:val="0"/>
                      <w:sz w:val="21"/>
                      <w:szCs w:val="21"/>
                      <w:highlight w:val="none"/>
                      <w:u w:val="none"/>
                      <w:lang w:val="en-US" w:eastAsia="zh-CN" w:bidi="ar"/>
                    </w:rPr>
                    <w:t>60</w:t>
                  </w:r>
                </w:p>
              </w:tc>
              <w:tc>
                <w:tcPr>
                  <w:tcW w:w="1112" w:type="dxa"/>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eastAsia="仿宋" w:cs="Times New Roman"/>
                      <w:i w:val="0"/>
                      <w:color w:val="auto"/>
                      <w:kern w:val="0"/>
                      <w:sz w:val="21"/>
                      <w:szCs w:val="21"/>
                      <w:highlight w:val="none"/>
                      <w:u w:val="none"/>
                      <w:lang w:val="en-US" w:eastAsia="zh-CN" w:bidi="ar"/>
                    </w:rPr>
                  </w:pPr>
                  <w:r>
                    <w:rPr>
                      <w:rFonts w:hint="eastAsia" w:eastAsia="仿宋" w:cs="Times New Roman"/>
                      <w:i w:val="0"/>
                      <w:color w:val="auto"/>
                      <w:kern w:val="0"/>
                      <w:sz w:val="21"/>
                      <w:szCs w:val="21"/>
                      <w:highlight w:val="none"/>
                      <w:u w:val="none"/>
                      <w:lang w:val="en-US" w:eastAsia="zh-CN" w:bidi="ar"/>
                    </w:rPr>
                    <w:t>50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监测结果表明，项目所在地经</w:t>
            </w:r>
            <w:r>
              <w:rPr>
                <w:rFonts w:hint="eastAsia" w:eastAsia="仿宋" w:cs="Times New Roman"/>
                <w:color w:val="auto"/>
                <w:sz w:val="24"/>
                <w:szCs w:val="24"/>
                <w:highlight w:val="none"/>
                <w:lang w:val="en-US" w:eastAsia="zh-CN"/>
              </w:rPr>
              <w:t>东、北厂</w:t>
            </w:r>
            <w:r>
              <w:rPr>
                <w:rFonts w:hint="default" w:ascii="Times New Roman" w:hAnsi="Times New Roman" w:eastAsia="仿宋" w:cs="Times New Roman"/>
                <w:color w:val="auto"/>
                <w:sz w:val="24"/>
                <w:szCs w:val="24"/>
                <w:highlight w:val="none"/>
              </w:rPr>
              <w:t>界</w:t>
            </w:r>
            <w:r>
              <w:rPr>
                <w:rFonts w:hint="default" w:ascii="Times New Roman" w:hAnsi="Times New Roman" w:eastAsia="仿宋" w:cs="Times New Roman"/>
                <w:color w:val="auto"/>
                <w:sz w:val="24"/>
                <w:szCs w:val="24"/>
                <w:highlight w:val="none"/>
                <w:lang w:val="en-US" w:eastAsia="zh-CN"/>
              </w:rPr>
              <w:t>及敏感点</w:t>
            </w:r>
            <w:r>
              <w:rPr>
                <w:rFonts w:hint="eastAsia" w:eastAsia="仿宋" w:cs="Times New Roman"/>
                <w:color w:val="auto"/>
                <w:sz w:val="24"/>
                <w:szCs w:val="24"/>
                <w:highlight w:val="none"/>
                <w:lang w:val="en-US" w:eastAsia="zh-CN"/>
              </w:rPr>
              <w:t>陈家头</w:t>
            </w:r>
            <w:r>
              <w:rPr>
                <w:rFonts w:hint="default" w:ascii="Times New Roman" w:hAnsi="Times New Roman" w:eastAsia="仿宋" w:cs="Times New Roman"/>
                <w:color w:val="auto"/>
                <w:sz w:val="24"/>
                <w:szCs w:val="24"/>
                <w:highlight w:val="none"/>
              </w:rPr>
              <w:t>噪声均符合《声环境质量标准》（GB3096-2008）中的</w:t>
            </w:r>
            <w:r>
              <w:rPr>
                <w:rFonts w:hint="eastAsia"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类标准</w:t>
            </w:r>
            <w:r>
              <w:rPr>
                <w:rFonts w:hint="default" w:ascii="Times New Roman" w:hAnsi="Times New Roman"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西、南厂界</w:t>
            </w:r>
            <w:r>
              <w:rPr>
                <w:rFonts w:hint="default" w:ascii="Times New Roman" w:hAnsi="Times New Roman" w:eastAsia="仿宋" w:cs="Times New Roman"/>
                <w:color w:val="auto"/>
                <w:sz w:val="24"/>
                <w:szCs w:val="24"/>
                <w:highlight w:val="none"/>
                <w:lang w:val="en-US" w:eastAsia="zh-CN"/>
              </w:rPr>
              <w:t>噪声符合《声环境质量标准》（GB3096-2008）中的</w:t>
            </w:r>
            <w:r>
              <w:rPr>
                <w:rFonts w:hint="eastAsia" w:eastAsia="仿宋" w:cs="Times New Roman"/>
                <w:color w:val="auto"/>
                <w:sz w:val="24"/>
                <w:szCs w:val="24"/>
                <w:highlight w:val="none"/>
                <w:lang w:val="en-US" w:eastAsia="zh-CN"/>
              </w:rPr>
              <w:t>4b</w:t>
            </w:r>
            <w:r>
              <w:rPr>
                <w:rFonts w:hint="default" w:ascii="Times New Roman" w:hAnsi="Times New Roman" w:eastAsia="仿宋" w:cs="Times New Roman"/>
                <w:color w:val="auto"/>
                <w:sz w:val="24"/>
                <w:szCs w:val="24"/>
                <w:highlight w:val="none"/>
                <w:lang w:val="en-US" w:eastAsia="zh-CN"/>
              </w:rPr>
              <w:t>类标准</w:t>
            </w:r>
            <w:r>
              <w:rPr>
                <w:rFonts w:hint="default" w:ascii="Times New Roman" w:hAnsi="Times New Roman" w:eastAsia="仿宋"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宋体" w:hAnsi="宋体" w:cs="宋体"/>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5" w:hRule="atLeast"/>
          <w:jc w:val="center"/>
        </w:trPr>
        <w:tc>
          <w:tcPr>
            <w:tcW w:w="559" w:type="dxa"/>
            <w:noWrap w:val="0"/>
            <w:vAlign w:val="center"/>
          </w:tcPr>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环境</w:t>
            </w:r>
          </w:p>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保护</w:t>
            </w:r>
          </w:p>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目标</w:t>
            </w:r>
          </w:p>
        </w:tc>
        <w:tc>
          <w:tcPr>
            <w:tcW w:w="8502"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eastAsia="宋体" w:cs="Times New Roman"/>
                <w:color w:val="auto"/>
                <w:highlight w:val="none"/>
              </w:rPr>
            </w:pPr>
            <w:r>
              <w:rPr>
                <w:rFonts w:hint="default" w:ascii="Times New Roman" w:hAnsi="Times New Roman" w:eastAsia="仿宋" w:cs="Times New Roman"/>
                <w:kern w:val="0"/>
                <w:sz w:val="24"/>
                <w:szCs w:val="24"/>
                <w:lang w:val="en-US" w:eastAsia="zh-CN"/>
              </w:rPr>
              <w:t>根据现场踏勘，本项目周围主要环境保护目标见</w:t>
            </w:r>
            <w:r>
              <w:rPr>
                <w:rFonts w:hint="eastAsia" w:ascii="Times New Roman" w:hAnsi="Times New Roman" w:eastAsia="仿宋" w:cs="Times New Roman"/>
                <w:kern w:val="0"/>
                <w:sz w:val="24"/>
                <w:szCs w:val="24"/>
                <w:lang w:val="en-US" w:eastAsia="zh-CN"/>
              </w:rPr>
              <w:t>下表</w:t>
            </w:r>
            <w:r>
              <w:rPr>
                <w:rFonts w:hint="default" w:ascii="Times New Roman" w:hAnsi="Times New Roman" w:eastAsia="仿宋" w:cs="Times New Roman"/>
                <w:kern w:val="0"/>
                <w:sz w:val="24"/>
                <w:szCs w:val="24"/>
                <w:lang w:val="en-US" w:eastAsia="zh-CN"/>
              </w:rPr>
              <w:t>。</w:t>
            </w:r>
          </w:p>
          <w:p>
            <w:pPr>
              <w:spacing w:line="240" w:lineRule="auto"/>
              <w:ind w:firstLine="482"/>
              <w:jc w:val="center"/>
              <w:rPr>
                <w:rFonts w:hint="default" w:eastAsia="宋体" w:cs="Times New Roman"/>
                <w:b/>
                <w:bCs/>
                <w:color w:val="auto"/>
                <w:highlight w:val="none"/>
              </w:rPr>
            </w:pPr>
            <w:r>
              <w:rPr>
                <w:rFonts w:hint="default" w:ascii="Times New Roman" w:hAnsi="Times New Roman" w:eastAsia="仿宋" w:cs="Times New Roman"/>
                <w:b/>
                <w:bCs/>
                <w:color w:val="auto"/>
                <w:sz w:val="24"/>
                <w:szCs w:val="24"/>
                <w:highlight w:val="none"/>
              </w:rPr>
              <w:t>表3-</w:t>
            </w:r>
            <w:r>
              <w:rPr>
                <w:rFonts w:hint="eastAsia" w:ascii="Times New Roman" w:hAnsi="Times New Roman" w:eastAsia="仿宋" w:cs="Times New Roman"/>
                <w:b/>
                <w:bCs/>
                <w:color w:val="auto"/>
                <w:sz w:val="24"/>
                <w:szCs w:val="24"/>
                <w:highlight w:val="none"/>
                <w:lang w:val="en-US" w:eastAsia="zh-CN"/>
              </w:rPr>
              <w:t>9</w:t>
            </w:r>
            <w:r>
              <w:rPr>
                <w:rFonts w:hint="default" w:ascii="Times New Roman" w:hAnsi="Times New Roman" w:eastAsia="仿宋" w:cs="Times New Roman"/>
                <w:b/>
                <w:bCs/>
                <w:color w:val="auto"/>
                <w:sz w:val="24"/>
                <w:szCs w:val="24"/>
                <w:highlight w:val="none"/>
              </w:rPr>
              <w:t>主要大气环境保护目标</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824"/>
              <w:gridCol w:w="824"/>
              <w:gridCol w:w="844"/>
              <w:gridCol w:w="827"/>
              <w:gridCol w:w="829"/>
              <w:gridCol w:w="829"/>
              <w:gridCol w:w="874"/>
              <w:gridCol w:w="829"/>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w:t>
                  </w:r>
                </w:p>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要素</w:t>
                  </w:r>
                </w:p>
              </w:tc>
              <w:tc>
                <w:tcPr>
                  <w:tcW w:w="494"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保护对象名称</w:t>
                  </w:r>
                </w:p>
              </w:tc>
              <w:tc>
                <w:tcPr>
                  <w:tcW w:w="1000"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坐标（m）</w:t>
                  </w:r>
                </w:p>
              </w:tc>
              <w:tc>
                <w:tcPr>
                  <w:tcW w:w="496"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保护对象</w:t>
                  </w:r>
                </w:p>
              </w:tc>
              <w:tc>
                <w:tcPr>
                  <w:tcW w:w="497"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保护内容</w:t>
                  </w:r>
                </w:p>
              </w:tc>
              <w:tc>
                <w:tcPr>
                  <w:tcW w:w="497"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环境功能区</w:t>
                  </w:r>
                </w:p>
              </w:tc>
              <w:tc>
                <w:tcPr>
                  <w:tcW w:w="524"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规模（人）</w:t>
                  </w:r>
                </w:p>
              </w:tc>
              <w:tc>
                <w:tcPr>
                  <w:tcW w:w="497"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相对方位</w:t>
                  </w:r>
                </w:p>
              </w:tc>
              <w:tc>
                <w:tcPr>
                  <w:tcW w:w="500"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相对距离(m)*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4"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4"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X</w:t>
                  </w:r>
                </w:p>
              </w:tc>
              <w:tc>
                <w:tcPr>
                  <w:tcW w:w="506"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Y</w:t>
                  </w:r>
                </w:p>
              </w:tc>
              <w:tc>
                <w:tcPr>
                  <w:tcW w:w="496"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524"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500"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Merge w:val="restar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大气环境</w:t>
                  </w:r>
                </w:p>
              </w:tc>
              <w:tc>
                <w:tcPr>
                  <w:tcW w:w="494"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陈家头</w:t>
                  </w:r>
                </w:p>
              </w:tc>
              <w:tc>
                <w:tcPr>
                  <w:tcW w:w="494"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w:t>
                  </w:r>
                </w:p>
              </w:tc>
              <w:tc>
                <w:tcPr>
                  <w:tcW w:w="506"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182</w:t>
                  </w:r>
                </w:p>
              </w:tc>
              <w:tc>
                <w:tcPr>
                  <w:tcW w:w="496"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居住区</w:t>
                  </w:r>
                </w:p>
              </w:tc>
              <w:tc>
                <w:tcPr>
                  <w:tcW w:w="497" w:type="pct"/>
                  <w:vMerge w:val="restar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人群</w:t>
                  </w:r>
                </w:p>
              </w:tc>
              <w:tc>
                <w:tcPr>
                  <w:tcW w:w="497" w:type="pct"/>
                  <w:vMerge w:val="restar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二类区</w:t>
                  </w:r>
                </w:p>
              </w:tc>
              <w:tc>
                <w:tcPr>
                  <w:tcW w:w="524"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60</w:t>
                  </w:r>
                </w:p>
              </w:tc>
              <w:tc>
                <w:tcPr>
                  <w:tcW w:w="497"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w:t>
                  </w:r>
                </w:p>
              </w:tc>
              <w:tc>
                <w:tcPr>
                  <w:tcW w:w="500"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4"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陆坊里</w:t>
                  </w:r>
                </w:p>
              </w:tc>
              <w:tc>
                <w:tcPr>
                  <w:tcW w:w="494"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440</w:t>
                  </w:r>
                </w:p>
              </w:tc>
              <w:tc>
                <w:tcPr>
                  <w:tcW w:w="506"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w:t>
                  </w:r>
                </w:p>
              </w:tc>
              <w:tc>
                <w:tcPr>
                  <w:tcW w:w="496"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524"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110</w:t>
                  </w:r>
                </w:p>
              </w:tc>
              <w:tc>
                <w:tcPr>
                  <w:tcW w:w="497"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E</w:t>
                  </w:r>
                </w:p>
              </w:tc>
              <w:tc>
                <w:tcPr>
                  <w:tcW w:w="500"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4"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宗家头</w:t>
                  </w:r>
                </w:p>
              </w:tc>
              <w:tc>
                <w:tcPr>
                  <w:tcW w:w="494"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-310</w:t>
                  </w:r>
                </w:p>
              </w:tc>
              <w:tc>
                <w:tcPr>
                  <w:tcW w:w="506"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380</w:t>
                  </w:r>
                </w:p>
              </w:tc>
              <w:tc>
                <w:tcPr>
                  <w:tcW w:w="496"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524"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497"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NW</w:t>
                  </w:r>
                </w:p>
              </w:tc>
              <w:tc>
                <w:tcPr>
                  <w:tcW w:w="500"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4"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殷家头</w:t>
                  </w:r>
                </w:p>
              </w:tc>
              <w:tc>
                <w:tcPr>
                  <w:tcW w:w="494"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-315</w:t>
                  </w:r>
                </w:p>
              </w:tc>
              <w:tc>
                <w:tcPr>
                  <w:tcW w:w="506"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160</w:t>
                  </w:r>
                </w:p>
              </w:tc>
              <w:tc>
                <w:tcPr>
                  <w:tcW w:w="496"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rPr>
                  </w:pPr>
                </w:p>
              </w:tc>
              <w:tc>
                <w:tcPr>
                  <w:tcW w:w="524"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497"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NW</w:t>
                  </w:r>
                </w:p>
              </w:tc>
              <w:tc>
                <w:tcPr>
                  <w:tcW w:w="500"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380</w:t>
                  </w:r>
                </w:p>
              </w:tc>
            </w:tr>
          </w:tbl>
          <w:p>
            <w:pPr>
              <w:ind w:firstLine="0" w:firstLineChars="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注：①*指环境保护目标与本项目厂界的最近直线距离；</w:t>
            </w:r>
          </w:p>
          <w:p>
            <w:pPr>
              <w:pStyle w:val="2"/>
              <w:ind w:firstLine="422" w:firstLineChars="200"/>
              <w:rPr>
                <w:rFonts w:hint="default" w:ascii="Times New Roman" w:hAnsi="Times New Roman" w:eastAsia="仿宋" w:cs="Times New Roman"/>
                <w:color w:val="auto"/>
                <w:lang w:val="en-US" w:eastAsia="zh-CN"/>
              </w:rPr>
            </w:pPr>
            <w:r>
              <w:rPr>
                <w:rFonts w:hint="default" w:ascii="Times New Roman" w:hAnsi="Times New Roman" w:eastAsia="仿宋" w:cs="Times New Roman"/>
                <w:b/>
                <w:color w:val="auto"/>
                <w:sz w:val="21"/>
                <w:szCs w:val="21"/>
                <w:highlight w:val="none"/>
                <w:lang w:val="en-US" w:eastAsia="zh-CN"/>
              </w:rPr>
              <w:t>②坐标以企业中心为原点</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表3-</w:t>
            </w:r>
            <w:r>
              <w:rPr>
                <w:rFonts w:hint="eastAsia" w:eastAsia="仿宋" w:cs="Times New Roman"/>
                <w:b/>
                <w:bCs/>
                <w:kern w:val="0"/>
                <w:sz w:val="24"/>
                <w:szCs w:val="24"/>
                <w:lang w:val="en-US" w:eastAsia="zh-CN"/>
              </w:rPr>
              <w:t>10</w:t>
            </w:r>
            <w:r>
              <w:rPr>
                <w:rFonts w:hint="default" w:ascii="Times New Roman" w:hAnsi="Times New Roman" w:eastAsia="仿宋" w:cs="Times New Roman"/>
                <w:b/>
                <w:bCs/>
                <w:kern w:val="0"/>
                <w:sz w:val="24"/>
                <w:szCs w:val="24"/>
                <w:lang w:val="en-US" w:eastAsia="zh-CN"/>
              </w:rPr>
              <w:t xml:space="preserve"> 其他要素环境保护目标一览表</w:t>
            </w:r>
          </w:p>
          <w:tbl>
            <w:tblPr>
              <w:tblStyle w:val="18"/>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088"/>
              <w:gridCol w:w="783"/>
              <w:gridCol w:w="1079"/>
              <w:gridCol w:w="2228"/>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环境要素</w:t>
                  </w:r>
                </w:p>
              </w:tc>
              <w:tc>
                <w:tcPr>
                  <w:tcW w:w="1088"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环境保护目标</w:t>
                  </w:r>
                </w:p>
              </w:tc>
              <w:tc>
                <w:tcPr>
                  <w:tcW w:w="783"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方位</w:t>
                  </w:r>
                </w:p>
              </w:tc>
              <w:tc>
                <w:tcPr>
                  <w:tcW w:w="1079"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距项目最近距离（m）</w:t>
                  </w:r>
                </w:p>
              </w:tc>
              <w:tc>
                <w:tcPr>
                  <w:tcW w:w="2228"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规模</w:t>
                  </w:r>
                </w:p>
              </w:tc>
              <w:tc>
                <w:tcPr>
                  <w:tcW w:w="2596"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vMerge w:val="restart"/>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highlight w:val="none"/>
                    </w:rPr>
                    <w:t>水环境</w:t>
                  </w:r>
                </w:p>
              </w:tc>
              <w:tc>
                <w:tcPr>
                  <w:tcW w:w="108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舜河</w:t>
                  </w:r>
                </w:p>
              </w:tc>
              <w:tc>
                <w:tcPr>
                  <w:tcW w:w="78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NE</w:t>
                  </w:r>
                </w:p>
              </w:tc>
              <w:tc>
                <w:tcPr>
                  <w:tcW w:w="10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6250</w:t>
                  </w:r>
                </w:p>
              </w:tc>
              <w:tc>
                <w:tcPr>
                  <w:tcW w:w="222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7.7km</w:t>
                  </w:r>
                </w:p>
              </w:tc>
              <w:tc>
                <w:tcPr>
                  <w:tcW w:w="2596"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highlight w:val="none"/>
                    </w:rPr>
                    <w:t>《地表水环境质量标准》（GB3838-2002）Ⅲ类水质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vMerge w:val="continue"/>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p>
              </w:tc>
              <w:tc>
                <w:tcPr>
                  <w:tcW w:w="108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北塘河</w:t>
                  </w:r>
                </w:p>
              </w:tc>
              <w:tc>
                <w:tcPr>
                  <w:tcW w:w="78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w:t>
                  </w:r>
                </w:p>
              </w:tc>
              <w:tc>
                <w:tcPr>
                  <w:tcW w:w="107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2060</w:t>
                  </w:r>
                </w:p>
              </w:tc>
              <w:tc>
                <w:tcPr>
                  <w:tcW w:w="222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23.6km</w:t>
                  </w:r>
                </w:p>
              </w:tc>
              <w:tc>
                <w:tcPr>
                  <w:tcW w:w="2596"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highlight w:val="none"/>
                    </w:rPr>
                    <w:t>《地表水环境质量标准》（GB3838-2002）Ⅳ类水质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highlight w:val="none"/>
                    </w:rPr>
                    <w:t>生态环境</w:t>
                  </w:r>
                </w:p>
              </w:tc>
              <w:tc>
                <w:tcPr>
                  <w:tcW w:w="1088"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jc w:val="both"/>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highlight w:val="none"/>
                    </w:rPr>
                    <w:t>横山（武进区）生态公益林</w:t>
                  </w:r>
                </w:p>
              </w:tc>
              <w:tc>
                <w:tcPr>
                  <w:tcW w:w="783" w:type="dxa"/>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highlight w:val="none"/>
                    </w:rPr>
                    <w:t>SE</w:t>
                  </w:r>
                </w:p>
              </w:tc>
              <w:tc>
                <w:tcPr>
                  <w:tcW w:w="1079"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highlight w:val="none"/>
                      <w:lang w:val="en-US" w:eastAsia="zh-CN"/>
                    </w:rPr>
                    <w:t>4000</w:t>
                  </w:r>
                </w:p>
              </w:tc>
              <w:tc>
                <w:tcPr>
                  <w:tcW w:w="2228"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highlight w:val="none"/>
                    </w:rPr>
                    <w:t>1.05km</w:t>
                  </w:r>
                  <w:r>
                    <w:rPr>
                      <w:rFonts w:hint="default" w:ascii="Times New Roman" w:hAnsi="Times New Roman" w:eastAsia="仿宋" w:cs="Times New Roman"/>
                      <w:color w:val="auto"/>
                      <w:highlight w:val="none"/>
                      <w:vertAlign w:val="superscript"/>
                    </w:rPr>
                    <w:t>2</w:t>
                  </w:r>
                </w:p>
              </w:tc>
              <w:tc>
                <w:tcPr>
                  <w:tcW w:w="2596"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highlight w:val="none"/>
                      <w:lang w:val="en-US" w:eastAsia="zh-CN"/>
                    </w:rPr>
                    <w:t>生态空间管控区域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eastAsia="仿宋" w:cs="Times New Roman"/>
                      <w:color w:val="auto"/>
                      <w:highlight w:val="none"/>
                      <w:lang w:val="en-US" w:eastAsia="zh-CN"/>
                    </w:rPr>
                  </w:pPr>
                  <w:r>
                    <w:rPr>
                      <w:rFonts w:hint="eastAsia" w:eastAsia="仿宋" w:cs="Times New Roman"/>
                      <w:color w:val="auto"/>
                      <w:highlight w:val="none"/>
                      <w:lang w:val="en-US" w:eastAsia="zh-CN"/>
                    </w:rPr>
                    <w:t>声环境</w:t>
                  </w:r>
                </w:p>
              </w:tc>
              <w:tc>
                <w:tcPr>
                  <w:tcW w:w="7774"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仿宋" w:cs="Times New Roman"/>
                      <w:color w:val="auto"/>
                      <w:sz w:val="21"/>
                      <w:highlight w:val="none"/>
                      <w:lang w:val="en-US" w:eastAsia="zh-CN"/>
                    </w:rPr>
                  </w:pPr>
                  <w:r>
                    <w:rPr>
                      <w:rFonts w:hint="eastAsia" w:eastAsia="仿宋" w:cs="Times New Roman"/>
                      <w:color w:val="auto"/>
                      <w:sz w:val="21"/>
                      <w:highlight w:val="none"/>
                      <w:lang w:val="en-US" w:eastAsia="zh-CN"/>
                    </w:rPr>
                    <w:t>企业周边50m内不涉及声环境敏感点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highlight w:val="none"/>
                      <w:lang w:val="en-US" w:eastAsia="zh-CN"/>
                    </w:rPr>
                    <w:t>土壤</w:t>
                  </w:r>
                </w:p>
              </w:tc>
              <w:tc>
                <w:tcPr>
                  <w:tcW w:w="7774"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sz w:val="21"/>
                      <w:highlight w:val="none"/>
                      <w:lang w:val="en-US" w:eastAsia="zh-CN"/>
                    </w:rPr>
                    <w:t>本项目车间周边50米内不涉及到土壤保护目标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highlight w:val="none"/>
                      <w:lang w:val="en-US"/>
                    </w:rPr>
                  </w:pPr>
                  <w:r>
                    <w:rPr>
                      <w:rFonts w:hint="eastAsia" w:eastAsia="仿宋" w:cs="Times New Roman"/>
                      <w:color w:val="auto"/>
                      <w:highlight w:val="none"/>
                      <w:lang w:val="en-US" w:eastAsia="zh-CN"/>
                    </w:rPr>
                    <w:t>地下水</w:t>
                  </w:r>
                </w:p>
              </w:tc>
              <w:tc>
                <w:tcPr>
                  <w:tcW w:w="7774"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500米范围内的不涉及地下水集中式饮用水水源和热水、矿泉水、温泉等特殊地下水资源</w:t>
                  </w:r>
                </w:p>
              </w:tc>
            </w:tr>
          </w:tbl>
          <w:p>
            <w:pPr>
              <w:adjustRightInd w:val="0"/>
              <w:snapToGrid w:val="0"/>
              <w:jc w:val="center"/>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559" w:type="dxa"/>
            <w:noWrap w:val="0"/>
            <w:tcMar>
              <w:left w:w="28" w:type="dxa"/>
              <w:right w:w="28" w:type="dxa"/>
            </w:tcMar>
            <w:vAlign w:val="center"/>
          </w:tcPr>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污染</w:t>
            </w:r>
          </w:p>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物排</w:t>
            </w:r>
          </w:p>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放控</w:t>
            </w:r>
          </w:p>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制标</w:t>
            </w:r>
          </w:p>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准</w:t>
            </w:r>
          </w:p>
        </w:tc>
        <w:tc>
          <w:tcPr>
            <w:tcW w:w="8502"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1.废</w:t>
            </w:r>
            <w:r>
              <w:rPr>
                <w:rFonts w:hint="eastAsia" w:eastAsia="仿宋" w:cs="Times New Roman"/>
                <w:kern w:val="0"/>
                <w:sz w:val="24"/>
                <w:szCs w:val="24"/>
                <w:lang w:val="en-US" w:eastAsia="zh-CN"/>
              </w:rPr>
              <w:t>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w:t>
            </w:r>
            <w:r>
              <w:rPr>
                <w:rFonts w:hint="default" w:ascii="Times New Roman" w:hAnsi="Times New Roman" w:eastAsia="仿宋" w:cs="Times New Roman"/>
                <w:color w:val="auto"/>
                <w:sz w:val="24"/>
                <w:szCs w:val="24"/>
                <w:lang w:eastAsia="zh-CN"/>
              </w:rPr>
              <w:t>经化粪池处理后生活污水</w:t>
            </w:r>
            <w:r>
              <w:rPr>
                <w:rFonts w:hint="default" w:ascii="Times New Roman" w:hAnsi="Times New Roman" w:eastAsia="仿宋" w:cs="Times New Roman"/>
                <w:color w:val="auto"/>
                <w:sz w:val="24"/>
                <w:szCs w:val="24"/>
              </w:rPr>
              <w:t>接管至郑陆污水处理有限公司，接管废水执行《污水排入城镇下水道水质标准》(GB/T 31962-2015)表1中B等级标准</w:t>
            </w:r>
            <w:r>
              <w:rPr>
                <w:rFonts w:hint="eastAsia" w:eastAsia="仿宋" w:cs="Times New Roman"/>
                <w:color w:val="auto"/>
                <w:sz w:val="24"/>
                <w:szCs w:val="24"/>
                <w:lang w:val="en-US" w:eastAsia="zh-CN"/>
              </w:rPr>
              <w:t>和郑陆污水处理有限公司接管要求中较为严格限值</w:t>
            </w:r>
            <w:r>
              <w:rPr>
                <w:rFonts w:hint="default" w:ascii="Times New Roman" w:hAnsi="Times New Roman" w:eastAsia="仿宋" w:cs="Times New Roman"/>
                <w:color w:val="auto"/>
                <w:sz w:val="24"/>
                <w:szCs w:val="24"/>
              </w:rPr>
              <w:t>，污水厂尾水排入舜河，尾水排放执行《太湖地区城镇污水处理厂及重点工业行业水污染物排放限值》（DB32/1072-20</w:t>
            </w:r>
            <w:r>
              <w:rPr>
                <w:rFonts w:hint="default" w:ascii="Times New Roman" w:hAnsi="Times New Roman" w:eastAsia="仿宋" w:cs="Times New Roman"/>
                <w:color w:val="auto"/>
                <w:sz w:val="24"/>
                <w:szCs w:val="24"/>
                <w:lang w:val="en-US" w:eastAsia="zh-CN"/>
              </w:rPr>
              <w:t>18</w:t>
            </w:r>
            <w:r>
              <w:rPr>
                <w:rFonts w:hint="default" w:ascii="Times New Roman" w:hAnsi="Times New Roman" w:eastAsia="仿宋" w:cs="Times New Roman"/>
                <w:color w:val="auto"/>
                <w:sz w:val="24"/>
                <w:szCs w:val="24"/>
              </w:rPr>
              <w:t>）和《城镇污水处理厂污染物排放标准》（GB18918-2002）表1一级A标准。具体见</w:t>
            </w:r>
            <w:r>
              <w:rPr>
                <w:rFonts w:hint="default" w:ascii="Times New Roman" w:hAnsi="Times New Roman" w:eastAsia="仿宋" w:cs="Times New Roman"/>
                <w:color w:val="auto"/>
                <w:sz w:val="24"/>
                <w:szCs w:val="24"/>
                <w:lang w:val="en-US" w:eastAsia="zh-CN"/>
              </w:rPr>
              <w:t>下表</w:t>
            </w:r>
            <w:r>
              <w:rPr>
                <w:rFonts w:hint="default" w:ascii="Times New Roman" w:hAnsi="Times New Roman" w:eastAsia="仿宋" w:cs="Times New Roman"/>
                <w:color w:val="auto"/>
                <w:sz w:val="24"/>
                <w:szCs w:val="24"/>
              </w:rPr>
              <w:t>。</w:t>
            </w:r>
          </w:p>
          <w:p>
            <w:pPr>
              <w:ind w:firstLine="0" w:firstLineChars="0"/>
              <w:jc w:val="center"/>
              <w:rPr>
                <w:rFonts w:hint="default" w:eastAsia="宋体" w:cs="Times New Roman"/>
                <w:b/>
                <w:bCs/>
                <w:color w:val="auto"/>
                <w:highlight w:val="none"/>
              </w:rPr>
            </w:pPr>
            <w:r>
              <w:rPr>
                <w:rFonts w:hint="default" w:ascii="Times New Roman" w:hAnsi="Times New Roman" w:eastAsia="仿宋" w:cs="Times New Roman"/>
                <w:b/>
                <w:bCs/>
                <w:color w:val="auto"/>
                <w:sz w:val="24"/>
                <w:szCs w:val="24"/>
                <w:highlight w:val="none"/>
              </w:rPr>
              <w:t>表</w:t>
            </w:r>
            <w:r>
              <w:rPr>
                <w:rFonts w:hint="eastAsia" w:ascii="Times New Roman" w:hAnsi="Times New Roman" w:eastAsia="仿宋" w:cs="Times New Roman"/>
                <w:b/>
                <w:bCs/>
                <w:color w:val="auto"/>
                <w:sz w:val="24"/>
                <w:szCs w:val="24"/>
                <w:highlight w:val="none"/>
                <w:lang w:val="en-US" w:eastAsia="zh-CN"/>
              </w:rPr>
              <w:t>3-11</w:t>
            </w:r>
            <w:r>
              <w:rPr>
                <w:rFonts w:hint="default" w:ascii="Times New Roman" w:hAnsi="Times New Roman" w:eastAsia="仿宋" w:cs="Times New Roman"/>
                <w:b/>
                <w:bCs/>
                <w:color w:val="auto"/>
                <w:sz w:val="24"/>
                <w:szCs w:val="24"/>
                <w:highlight w:val="none"/>
              </w:rPr>
              <w:t>水污染物排放标准单位：mg/L</w:t>
            </w:r>
          </w:p>
          <w:tbl>
            <w:tblPr>
              <w:tblStyle w:val="18"/>
              <w:tblW w:w="4998" w:type="pct"/>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014"/>
              <w:gridCol w:w="1220"/>
              <w:gridCol w:w="1352"/>
              <w:gridCol w:w="3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8" w:type="pct"/>
                  <w:vAlign w:val="center"/>
                </w:tcPr>
                <w:p>
                  <w:pPr>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项目</w:t>
                  </w:r>
                </w:p>
              </w:tc>
              <w:tc>
                <w:tcPr>
                  <w:tcW w:w="608" w:type="pct"/>
                  <w:vAlign w:val="center"/>
                </w:tcPr>
                <w:p>
                  <w:pPr>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取值表号/级别</w:t>
                  </w:r>
                </w:p>
              </w:tc>
              <w:tc>
                <w:tcPr>
                  <w:tcW w:w="732" w:type="pct"/>
                  <w:vAlign w:val="center"/>
                </w:tcPr>
                <w:p>
                  <w:pPr>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污染物名称</w:t>
                  </w:r>
                </w:p>
              </w:tc>
              <w:tc>
                <w:tcPr>
                  <w:tcW w:w="811" w:type="pct"/>
                  <w:vAlign w:val="center"/>
                </w:tcPr>
                <w:p>
                  <w:pPr>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浓度限值</w:t>
                  </w:r>
                </w:p>
              </w:tc>
              <w:tc>
                <w:tcPr>
                  <w:tcW w:w="2109" w:type="pct"/>
                  <w:vAlign w:val="center"/>
                </w:tcPr>
                <w:p>
                  <w:pPr>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8" w:type="pct"/>
                  <w:vMerge w:val="restar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接管口DW001</w:t>
                  </w:r>
                </w:p>
              </w:tc>
              <w:tc>
                <w:tcPr>
                  <w:tcW w:w="608" w:type="pct"/>
                  <w:vMerge w:val="restar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732"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pH</w:t>
                  </w:r>
                </w:p>
              </w:tc>
              <w:tc>
                <w:tcPr>
                  <w:tcW w:w="811"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6.5-9.5（无量纲）</w:t>
                  </w:r>
                </w:p>
              </w:tc>
              <w:tc>
                <w:tcPr>
                  <w:tcW w:w="2109" w:type="pct"/>
                  <w:vMerge w:val="restar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《污水排入城镇下水道水质标准》(GB/T 31962-2015)表1 中B 级标准</w:t>
                  </w:r>
                  <w:r>
                    <w:rPr>
                      <w:rFonts w:hint="eastAsia" w:eastAsia="仿宋" w:cs="Times New Roman"/>
                      <w:color w:val="auto"/>
                      <w:kern w:val="0"/>
                      <w:sz w:val="21"/>
                      <w:szCs w:val="21"/>
                      <w:highlight w:val="none"/>
                      <w:lang w:val="en-US" w:eastAsia="zh-CN"/>
                    </w:rPr>
                    <w:t>及郑陆污水处理有限公司接管较严格限值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60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32"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COD</w:t>
                  </w:r>
                </w:p>
              </w:tc>
              <w:tc>
                <w:tcPr>
                  <w:tcW w:w="811"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500</w:t>
                  </w:r>
                </w:p>
              </w:tc>
              <w:tc>
                <w:tcPr>
                  <w:tcW w:w="2109"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60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32"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SS</w:t>
                  </w:r>
                </w:p>
              </w:tc>
              <w:tc>
                <w:tcPr>
                  <w:tcW w:w="811"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400</w:t>
                  </w:r>
                </w:p>
              </w:tc>
              <w:tc>
                <w:tcPr>
                  <w:tcW w:w="2109"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60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32"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NH</w:t>
                  </w:r>
                  <w:r>
                    <w:rPr>
                      <w:rFonts w:hint="default" w:ascii="Times New Roman" w:hAnsi="Times New Roman" w:eastAsia="仿宋" w:cs="Times New Roman"/>
                      <w:color w:val="auto"/>
                      <w:kern w:val="0"/>
                      <w:sz w:val="21"/>
                      <w:szCs w:val="21"/>
                      <w:highlight w:val="none"/>
                      <w:vertAlign w:val="subscript"/>
                    </w:rPr>
                    <w:t>3</w:t>
                  </w:r>
                  <w:r>
                    <w:rPr>
                      <w:rFonts w:hint="default" w:ascii="Times New Roman" w:hAnsi="Times New Roman" w:eastAsia="仿宋" w:cs="Times New Roman"/>
                      <w:color w:val="auto"/>
                      <w:kern w:val="0"/>
                      <w:sz w:val="21"/>
                      <w:szCs w:val="21"/>
                      <w:highlight w:val="none"/>
                    </w:rPr>
                    <w:t>-N</w:t>
                  </w:r>
                </w:p>
              </w:tc>
              <w:tc>
                <w:tcPr>
                  <w:tcW w:w="811"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35</w:t>
                  </w:r>
                </w:p>
              </w:tc>
              <w:tc>
                <w:tcPr>
                  <w:tcW w:w="2109"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60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32"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TP</w:t>
                  </w:r>
                </w:p>
              </w:tc>
              <w:tc>
                <w:tcPr>
                  <w:tcW w:w="811"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w:t>
                  </w:r>
                </w:p>
              </w:tc>
              <w:tc>
                <w:tcPr>
                  <w:tcW w:w="2109"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60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32"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TN</w:t>
                  </w:r>
                </w:p>
              </w:tc>
              <w:tc>
                <w:tcPr>
                  <w:tcW w:w="811"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70</w:t>
                  </w:r>
                </w:p>
              </w:tc>
              <w:tc>
                <w:tcPr>
                  <w:tcW w:w="2109"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8" w:type="pct"/>
                  <w:vMerge w:val="restar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常州郑陆污水处理有限公司排口（2021年1月1日后）</w:t>
                  </w:r>
                </w:p>
              </w:tc>
              <w:tc>
                <w:tcPr>
                  <w:tcW w:w="608" w:type="pct"/>
                  <w:vMerge w:val="restar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一级A</w:t>
                  </w:r>
                </w:p>
              </w:tc>
              <w:tc>
                <w:tcPr>
                  <w:tcW w:w="732" w:type="pct"/>
                  <w:vAlign w:val="center"/>
                </w:tcPr>
                <w:p>
                  <w:pPr>
                    <w:adjustRightInd w:val="0"/>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SS</w:t>
                  </w:r>
                </w:p>
              </w:tc>
              <w:tc>
                <w:tcPr>
                  <w:tcW w:w="811" w:type="pct"/>
                  <w:vAlign w:val="center"/>
                </w:tcPr>
                <w:p>
                  <w:pPr>
                    <w:pStyle w:val="4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10</w:t>
                  </w:r>
                </w:p>
              </w:tc>
              <w:tc>
                <w:tcPr>
                  <w:tcW w:w="2109" w:type="pct"/>
                  <w:vMerge w:val="restart"/>
                  <w:vAlign w:val="center"/>
                </w:tcPr>
                <w:p>
                  <w:pPr>
                    <w:adjustRightInd w:val="0"/>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《城镇污水处理厂污染物排放标准》（GB18918-2002）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608" w:type="pct"/>
                  <w:vMerge w:val="restar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表2</w:t>
                  </w:r>
                </w:p>
              </w:tc>
              <w:tc>
                <w:tcPr>
                  <w:tcW w:w="732" w:type="pct"/>
                  <w:vAlign w:val="center"/>
                </w:tcPr>
                <w:p>
                  <w:pPr>
                    <w:adjustRightInd w:val="0"/>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COD</w:t>
                  </w:r>
                </w:p>
              </w:tc>
              <w:tc>
                <w:tcPr>
                  <w:tcW w:w="811" w:type="pct"/>
                  <w:vAlign w:val="center"/>
                </w:tcPr>
                <w:p>
                  <w:pPr>
                    <w:pStyle w:val="4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50</w:t>
                  </w:r>
                </w:p>
              </w:tc>
              <w:tc>
                <w:tcPr>
                  <w:tcW w:w="2109" w:type="pct"/>
                  <w:vMerge w:val="restart"/>
                  <w:vAlign w:val="center"/>
                </w:tcPr>
                <w:p>
                  <w:pPr>
                    <w:adjustRightInd w:val="0"/>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《太湖地区城镇污水处理厂及重点工业行业主要水污染物排放限值》（ DB32/1072-2018）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60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32"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NH</w:t>
                  </w:r>
                  <w:r>
                    <w:rPr>
                      <w:rFonts w:hint="default" w:ascii="Times New Roman" w:hAnsi="Times New Roman" w:eastAsia="仿宋" w:cs="Times New Roman"/>
                      <w:color w:val="auto"/>
                      <w:kern w:val="0"/>
                      <w:sz w:val="21"/>
                      <w:szCs w:val="21"/>
                      <w:highlight w:val="none"/>
                      <w:vertAlign w:val="subscript"/>
                    </w:rPr>
                    <w:t>3</w:t>
                  </w:r>
                  <w:r>
                    <w:rPr>
                      <w:rFonts w:hint="default" w:ascii="Times New Roman" w:hAnsi="Times New Roman" w:eastAsia="仿宋" w:cs="Times New Roman"/>
                      <w:color w:val="auto"/>
                      <w:kern w:val="0"/>
                      <w:sz w:val="21"/>
                      <w:szCs w:val="21"/>
                      <w:highlight w:val="none"/>
                    </w:rPr>
                    <w:t>-N</w:t>
                  </w:r>
                </w:p>
              </w:tc>
              <w:tc>
                <w:tcPr>
                  <w:tcW w:w="811" w:type="pct"/>
                  <w:vAlign w:val="center"/>
                </w:tcPr>
                <w:p>
                  <w:pPr>
                    <w:pStyle w:val="4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4（6）*</w:t>
                  </w:r>
                </w:p>
              </w:tc>
              <w:tc>
                <w:tcPr>
                  <w:tcW w:w="2109"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60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32"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TP</w:t>
                  </w:r>
                </w:p>
              </w:tc>
              <w:tc>
                <w:tcPr>
                  <w:tcW w:w="811" w:type="pct"/>
                  <w:vAlign w:val="center"/>
                </w:tcPr>
                <w:p>
                  <w:pPr>
                    <w:pStyle w:val="4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0.5</w:t>
                  </w:r>
                </w:p>
              </w:tc>
              <w:tc>
                <w:tcPr>
                  <w:tcW w:w="2109"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608"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32" w:type="pct"/>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TN</w:t>
                  </w:r>
                </w:p>
              </w:tc>
              <w:tc>
                <w:tcPr>
                  <w:tcW w:w="811" w:type="pct"/>
                  <w:vAlign w:val="center"/>
                </w:tcPr>
                <w:p>
                  <w:pPr>
                    <w:pStyle w:val="4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12(15)</w:t>
                  </w:r>
                </w:p>
              </w:tc>
              <w:tc>
                <w:tcPr>
                  <w:tcW w:w="2109" w:type="pct"/>
                  <w:vMerge w:val="continue"/>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r>
          </w:tbl>
          <w:p>
            <w:pPr>
              <w:pStyle w:val="2"/>
              <w:rPr>
                <w:rFonts w:hint="eastAsia" w:ascii="仿宋" w:hAnsi="仿宋" w:eastAsia="仿宋" w:cs="仿宋"/>
                <w:lang w:val="en-US" w:eastAsia="zh-CN"/>
              </w:rPr>
            </w:pPr>
            <w:r>
              <w:rPr>
                <w:rFonts w:hint="eastAsia" w:ascii="仿宋" w:hAnsi="仿宋" w:eastAsia="仿宋" w:cs="仿宋"/>
                <w:color w:val="auto"/>
                <w:sz w:val="21"/>
                <w:szCs w:val="21"/>
                <w:highlight w:val="none"/>
              </w:rPr>
              <w:t>注：①括号外数值为水温＞12℃时的控制指标，括号内数值为水温≤12℃时的控制指标。</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2.废</w:t>
            </w:r>
            <w:r>
              <w:rPr>
                <w:rFonts w:hint="eastAsia" w:eastAsia="仿宋" w:cs="Times New Roman"/>
                <w:kern w:val="0"/>
                <w:sz w:val="24"/>
                <w:szCs w:val="24"/>
                <w:lang w:val="en-US" w:eastAsia="zh-CN"/>
              </w:rPr>
              <w:t>气</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本项目</w:t>
            </w:r>
            <w:r>
              <w:rPr>
                <w:rFonts w:hint="default" w:ascii="Times New Roman" w:hAnsi="Times New Roman" w:eastAsia="仿宋" w:cs="Times New Roman"/>
                <w:color w:val="auto"/>
                <w:sz w:val="24"/>
                <w:szCs w:val="24"/>
                <w:highlight w:val="none"/>
                <w:lang w:val="en-US" w:eastAsia="zh-CN"/>
              </w:rPr>
              <w:t>淬火、回火产生的非甲烷总烃有组织及无组织排放标准执行</w:t>
            </w:r>
            <w:r>
              <w:rPr>
                <w:rFonts w:hint="default" w:ascii="Times New Roman" w:hAnsi="Times New Roman" w:eastAsia="仿宋" w:cs="Times New Roman"/>
                <w:color w:val="auto"/>
                <w:sz w:val="24"/>
                <w:szCs w:val="24"/>
                <w:highlight w:val="none"/>
              </w:rPr>
              <w:t>《大气污染物综合排放标准》（</w:t>
            </w:r>
            <w:r>
              <w:rPr>
                <w:rFonts w:hint="eastAsia" w:eastAsia="仿宋" w:cs="Times New Roman"/>
                <w:color w:val="auto"/>
                <w:sz w:val="24"/>
                <w:szCs w:val="24"/>
                <w:highlight w:val="none"/>
                <w:lang w:eastAsia="zh-CN"/>
              </w:rPr>
              <w:t>DB32/4041-2021</w:t>
            </w:r>
            <w:r>
              <w:rPr>
                <w:rFonts w:hint="default" w:ascii="Times New Roman" w:hAnsi="Times New Roman" w:eastAsia="仿宋" w:cs="Times New Roman"/>
                <w:color w:val="auto"/>
                <w:sz w:val="24"/>
                <w:szCs w:val="24"/>
                <w:highlight w:val="none"/>
              </w:rPr>
              <w:t>）表2中</w:t>
            </w:r>
            <w:r>
              <w:rPr>
                <w:rFonts w:hint="default" w:ascii="Times New Roman" w:hAnsi="Times New Roman" w:eastAsia="仿宋" w:cs="Times New Roman"/>
                <w:color w:val="auto"/>
                <w:sz w:val="24"/>
                <w:szCs w:val="24"/>
                <w:highlight w:val="none"/>
                <w:lang w:val="en-US" w:eastAsia="zh-CN"/>
              </w:rPr>
              <w:t>相应限值</w:t>
            </w:r>
            <w:r>
              <w:rPr>
                <w:rFonts w:hint="eastAsia" w:eastAsia="仿宋" w:cs="Times New Roman"/>
                <w:color w:val="auto"/>
                <w:sz w:val="24"/>
                <w:szCs w:val="24"/>
                <w:highlight w:val="none"/>
                <w:lang w:val="en-US" w:eastAsia="zh-CN"/>
              </w:rPr>
              <w:t>；非甲烷总烃车间外无组织排放标准执行《挥发性有机物无组织排放控制标准》（GB37822-2019）表A.1标准</w:t>
            </w:r>
            <w:r>
              <w:rPr>
                <w:rFonts w:hint="default" w:ascii="Times New Roman" w:hAnsi="Times New Roman" w:eastAsia="仿宋" w:cs="Times New Roman"/>
                <w:color w:val="auto"/>
                <w:sz w:val="24"/>
                <w:szCs w:val="24"/>
                <w:highlight w:val="none"/>
              </w:rPr>
              <w:t>。</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因排气筒高度不满足高出周围200m范围的建筑5m以上的要求，</w:t>
            </w:r>
            <w:r>
              <w:rPr>
                <w:rFonts w:hint="default" w:ascii="Times New Roman" w:hAnsi="Times New Roman" w:eastAsia="仿宋" w:cs="Times New Roman"/>
                <w:color w:val="auto"/>
                <w:sz w:val="24"/>
                <w:szCs w:val="24"/>
                <w:highlight w:val="none"/>
                <w:lang w:val="en-US" w:eastAsia="zh-CN"/>
              </w:rPr>
              <w:t>非甲烷总烃</w:t>
            </w:r>
            <w:r>
              <w:rPr>
                <w:rFonts w:hint="default" w:ascii="Times New Roman" w:hAnsi="Times New Roman" w:eastAsia="仿宋" w:cs="Times New Roman"/>
                <w:color w:val="auto"/>
                <w:sz w:val="24"/>
                <w:szCs w:val="24"/>
                <w:highlight w:val="none"/>
              </w:rPr>
              <w:t>排放速率严格《大气污染物综合排放标准》（</w:t>
            </w:r>
            <w:r>
              <w:rPr>
                <w:rFonts w:hint="eastAsia" w:eastAsia="仿宋" w:cs="Times New Roman"/>
                <w:color w:val="auto"/>
                <w:sz w:val="24"/>
                <w:szCs w:val="24"/>
                <w:highlight w:val="none"/>
                <w:lang w:eastAsia="zh-CN"/>
              </w:rPr>
              <w:t>DB32/4041-2021</w:t>
            </w:r>
            <w:r>
              <w:rPr>
                <w:rFonts w:hint="default" w:ascii="Times New Roman" w:hAnsi="Times New Roman" w:eastAsia="仿宋" w:cs="Times New Roman"/>
                <w:color w:val="auto"/>
                <w:sz w:val="24"/>
                <w:szCs w:val="24"/>
                <w:highlight w:val="none"/>
              </w:rPr>
              <w:t>）表</w:t>
            </w:r>
            <w:r>
              <w:rPr>
                <w:rFonts w:hint="eastAsia"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lang w:val="en-US" w:eastAsia="zh-CN"/>
              </w:rPr>
              <w:t>中标准</w:t>
            </w:r>
            <w:r>
              <w:rPr>
                <w:rFonts w:hint="default" w:ascii="Times New Roman" w:hAnsi="Times New Roman" w:eastAsia="仿宋" w:cs="Times New Roman"/>
                <w:color w:val="auto"/>
                <w:sz w:val="24"/>
                <w:szCs w:val="24"/>
                <w:highlight w:val="none"/>
              </w:rPr>
              <w:t>50%执行。</w:t>
            </w:r>
          </w:p>
          <w:p>
            <w:pPr>
              <w:pStyle w:val="2"/>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仿宋" w:cs="Times New Roman"/>
                <w:bCs/>
                <w:snapToGrid w:val="0"/>
                <w:color w:val="auto"/>
                <w:kern w:val="0"/>
                <w:sz w:val="24"/>
                <w:szCs w:val="24"/>
                <w:highlight w:val="none"/>
              </w:rPr>
            </w:pPr>
            <w:r>
              <w:rPr>
                <w:rFonts w:hint="default" w:ascii="Times New Roman" w:hAnsi="Times New Roman" w:eastAsia="仿宋" w:cs="Times New Roman"/>
                <w:color w:val="auto"/>
                <w:sz w:val="24"/>
                <w:szCs w:val="24"/>
                <w:highlight w:val="none"/>
              </w:rPr>
              <w:t>具体排放限值详</w:t>
            </w:r>
            <w:r>
              <w:rPr>
                <w:rFonts w:hint="default" w:ascii="Times New Roman" w:hAnsi="Times New Roman" w:eastAsia="仿宋" w:cs="Times New Roman"/>
                <w:bCs/>
                <w:snapToGrid w:val="0"/>
                <w:color w:val="auto"/>
                <w:kern w:val="0"/>
                <w:sz w:val="24"/>
                <w:szCs w:val="24"/>
                <w:highlight w:val="none"/>
              </w:rPr>
              <w:t>见</w:t>
            </w:r>
            <w:r>
              <w:rPr>
                <w:rFonts w:hint="default" w:ascii="Times New Roman" w:hAnsi="Times New Roman" w:eastAsia="仿宋" w:cs="Times New Roman"/>
                <w:bCs/>
                <w:snapToGrid w:val="0"/>
                <w:color w:val="auto"/>
                <w:kern w:val="0"/>
                <w:sz w:val="24"/>
                <w:szCs w:val="24"/>
                <w:highlight w:val="none"/>
                <w:lang w:val="en-US" w:eastAsia="zh-CN"/>
              </w:rPr>
              <w:t>下表</w:t>
            </w:r>
            <w:r>
              <w:rPr>
                <w:rFonts w:hint="default" w:ascii="Times New Roman" w:hAnsi="Times New Roman" w:eastAsia="仿宋" w:cs="Times New Roman"/>
                <w:bCs/>
                <w:snapToGrid w:val="0"/>
                <w:color w:val="auto"/>
                <w:kern w:val="0"/>
                <w:sz w:val="24"/>
                <w:szCs w:val="24"/>
                <w:highlight w:val="none"/>
              </w:rPr>
              <w:t>。</w:t>
            </w:r>
          </w:p>
          <w:p>
            <w:pPr>
              <w:spacing w:line="240" w:lineRule="auto"/>
              <w:ind w:firstLine="0" w:firstLineChars="0"/>
              <w:jc w:val="center"/>
              <w:rPr>
                <w:rFonts w:hint="default" w:eastAsia="宋体" w:cs="Times New Roman"/>
                <w:b/>
                <w:snapToGrid w:val="0"/>
                <w:color w:val="auto"/>
                <w:kern w:val="0"/>
                <w:szCs w:val="24"/>
                <w:highlight w:val="none"/>
              </w:rPr>
            </w:pPr>
            <w:r>
              <w:rPr>
                <w:rFonts w:hint="default" w:ascii="Times New Roman" w:hAnsi="Times New Roman" w:eastAsia="仿宋" w:cs="Times New Roman"/>
                <w:b/>
                <w:snapToGrid w:val="0"/>
                <w:color w:val="auto"/>
                <w:kern w:val="0"/>
                <w:sz w:val="24"/>
                <w:szCs w:val="24"/>
                <w:highlight w:val="none"/>
              </w:rPr>
              <w:t>表</w:t>
            </w:r>
            <w:r>
              <w:rPr>
                <w:rFonts w:hint="eastAsia" w:ascii="Times New Roman" w:hAnsi="Times New Roman" w:eastAsia="仿宋" w:cs="Times New Roman"/>
                <w:b/>
                <w:snapToGrid w:val="0"/>
                <w:color w:val="auto"/>
                <w:kern w:val="0"/>
                <w:sz w:val="24"/>
                <w:szCs w:val="24"/>
                <w:highlight w:val="none"/>
                <w:lang w:val="en-US" w:eastAsia="zh-CN"/>
              </w:rPr>
              <w:t>3-12</w:t>
            </w:r>
            <w:r>
              <w:rPr>
                <w:rFonts w:hint="default" w:ascii="Times New Roman" w:hAnsi="Times New Roman" w:eastAsia="仿宋" w:cs="Times New Roman"/>
                <w:b/>
                <w:snapToGrid w:val="0"/>
                <w:color w:val="auto"/>
                <w:kern w:val="0"/>
                <w:sz w:val="24"/>
                <w:szCs w:val="24"/>
                <w:highlight w:val="none"/>
              </w:rPr>
              <w:t>大气污染物排放标准</w:t>
            </w:r>
          </w:p>
          <w:tbl>
            <w:tblPr>
              <w:tblStyle w:val="17"/>
              <w:tblW w:w="49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089"/>
              <w:gridCol w:w="1162"/>
              <w:gridCol w:w="2897"/>
              <w:gridCol w:w="948"/>
              <w:gridCol w:w="713"/>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8" w:hRule="atLeast"/>
                <w:jc w:val="center"/>
              </w:trPr>
              <w:tc>
                <w:tcPr>
                  <w:tcW w:w="390"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排气筒</w:t>
                  </w:r>
                </w:p>
              </w:tc>
              <w:tc>
                <w:tcPr>
                  <w:tcW w:w="657"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污染源</w:t>
                  </w:r>
                </w:p>
              </w:tc>
              <w:tc>
                <w:tcPr>
                  <w:tcW w:w="701"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w:t>
                  </w:r>
                </w:p>
              </w:tc>
              <w:tc>
                <w:tcPr>
                  <w:tcW w:w="1748"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执行标准</w:t>
                  </w:r>
                </w:p>
              </w:tc>
              <w:tc>
                <w:tcPr>
                  <w:tcW w:w="572"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最高允许排放浓度</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mg/m</w:t>
                  </w:r>
                  <w:r>
                    <w:rPr>
                      <w:rFonts w:hint="default" w:ascii="Times New Roman" w:hAnsi="Times New Roman" w:eastAsia="仿宋" w:cs="Times New Roman"/>
                      <w:b/>
                      <w:bCs/>
                      <w:color w:val="auto"/>
                      <w:sz w:val="21"/>
                      <w:szCs w:val="21"/>
                      <w:vertAlign w:val="superscript"/>
                    </w:rPr>
                    <w:t>3</w:t>
                  </w:r>
                </w:p>
              </w:tc>
              <w:tc>
                <w:tcPr>
                  <w:tcW w:w="929" w:type="pct"/>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最高允许</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7" w:hRule="atLeast"/>
                <w:jc w:val="center"/>
              </w:trPr>
              <w:tc>
                <w:tcPr>
                  <w:tcW w:w="390"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p>
              </w:tc>
              <w:tc>
                <w:tcPr>
                  <w:tcW w:w="657"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p>
              </w:tc>
              <w:tc>
                <w:tcPr>
                  <w:tcW w:w="701"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p>
              </w:tc>
              <w:tc>
                <w:tcPr>
                  <w:tcW w:w="174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p>
              </w:tc>
              <w:tc>
                <w:tcPr>
                  <w:tcW w:w="572"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p>
              </w:tc>
              <w:tc>
                <w:tcPr>
                  <w:tcW w:w="43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pacing w:val="-10"/>
                      <w:sz w:val="21"/>
                      <w:szCs w:val="21"/>
                    </w:rPr>
                  </w:pPr>
                  <w:r>
                    <w:rPr>
                      <w:rFonts w:hint="default" w:ascii="Times New Roman" w:hAnsi="Times New Roman" w:eastAsia="仿宋" w:cs="Times New Roman"/>
                      <w:b/>
                      <w:bCs/>
                      <w:color w:val="auto"/>
                      <w:spacing w:val="-10"/>
                      <w:sz w:val="21"/>
                      <w:szCs w:val="21"/>
                    </w:rPr>
                    <w:t>排气筒</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pacing w:val="-10"/>
                      <w:sz w:val="21"/>
                      <w:szCs w:val="21"/>
                    </w:rPr>
                    <w:t>m</w:t>
                  </w:r>
                </w:p>
              </w:tc>
              <w:tc>
                <w:tcPr>
                  <w:tcW w:w="499"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39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57"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淬火、回火</w:t>
                  </w:r>
                </w:p>
              </w:tc>
              <w:tc>
                <w:tcPr>
                  <w:tcW w:w="701"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lang w:eastAsia="zh-CN"/>
                    </w:rPr>
                  </w:pPr>
                  <w:r>
                    <w:rPr>
                      <w:rFonts w:hint="eastAsia" w:eastAsia="仿宋" w:cs="Times New Roman"/>
                      <w:color w:val="auto"/>
                      <w:sz w:val="21"/>
                      <w:szCs w:val="21"/>
                      <w:lang w:val="en-US" w:eastAsia="zh-CN"/>
                    </w:rPr>
                    <w:t>非甲烷总烃</w:t>
                  </w:r>
                </w:p>
              </w:tc>
              <w:tc>
                <w:tcPr>
                  <w:tcW w:w="174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《大气污染物综合排放标准》（</w:t>
                  </w:r>
                  <w:r>
                    <w:rPr>
                      <w:rFonts w:hint="eastAsia" w:eastAsia="仿宋" w:cs="Times New Roman"/>
                      <w:color w:val="auto"/>
                      <w:sz w:val="21"/>
                      <w:szCs w:val="21"/>
                      <w:lang w:eastAsia="zh-CN"/>
                    </w:rPr>
                    <w:t>DB32/4041-2021</w:t>
                  </w:r>
                  <w:r>
                    <w:rPr>
                      <w:rFonts w:hint="default" w:ascii="Times New Roman" w:hAnsi="Times New Roman" w:eastAsia="仿宋" w:cs="Times New Roman"/>
                      <w:color w:val="auto"/>
                      <w:sz w:val="21"/>
                      <w:szCs w:val="21"/>
                    </w:rPr>
                    <w:t>）表</w:t>
                  </w:r>
                  <w:r>
                    <w:rPr>
                      <w:rFonts w:hint="eastAsia" w:eastAsia="仿宋" w:cs="Times New Roman"/>
                      <w:color w:val="auto"/>
                      <w:sz w:val="21"/>
                      <w:szCs w:val="21"/>
                      <w:lang w:val="en-US" w:eastAsia="zh-CN"/>
                    </w:rPr>
                    <w:t>1</w:t>
                  </w:r>
                  <w:r>
                    <w:rPr>
                      <w:rFonts w:hint="default" w:ascii="Times New Roman" w:hAnsi="Times New Roman" w:eastAsia="仿宋" w:cs="Times New Roman"/>
                      <w:color w:val="auto"/>
                      <w:sz w:val="21"/>
                      <w:szCs w:val="21"/>
                    </w:rPr>
                    <w:t xml:space="preserve"> 标准</w:t>
                  </w:r>
                </w:p>
              </w:tc>
              <w:tc>
                <w:tcPr>
                  <w:tcW w:w="572"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lang w:val="en-US"/>
                    </w:rPr>
                  </w:pPr>
                  <w:r>
                    <w:rPr>
                      <w:rFonts w:hint="eastAsia" w:eastAsia="仿宋" w:cs="Times New Roman"/>
                      <w:color w:val="auto"/>
                      <w:sz w:val="21"/>
                      <w:szCs w:val="21"/>
                      <w:lang w:val="en-US" w:eastAsia="zh-CN"/>
                    </w:rPr>
                    <w:t>6</w:t>
                  </w:r>
                  <w:r>
                    <w:rPr>
                      <w:rFonts w:hint="default" w:ascii="Times New Roman" w:hAnsi="Times New Roman" w:eastAsia="仿宋" w:cs="Times New Roman"/>
                      <w:color w:val="auto"/>
                      <w:sz w:val="21"/>
                      <w:szCs w:val="21"/>
                      <w:lang w:val="en-US" w:eastAsia="zh-CN"/>
                    </w:rPr>
                    <w:t>0</w:t>
                  </w:r>
                </w:p>
              </w:tc>
              <w:tc>
                <w:tcPr>
                  <w:tcW w:w="43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lang w:val="en-US"/>
                    </w:rPr>
                  </w:pPr>
                  <w:r>
                    <w:rPr>
                      <w:rFonts w:hint="eastAsia" w:eastAsia="仿宋" w:cs="Times New Roman"/>
                      <w:color w:val="auto"/>
                      <w:sz w:val="21"/>
                      <w:szCs w:val="21"/>
                      <w:lang w:val="en-US" w:eastAsia="zh-CN"/>
                    </w:rPr>
                    <w:t>15</w:t>
                  </w:r>
                </w:p>
              </w:tc>
              <w:tc>
                <w:tcPr>
                  <w:tcW w:w="499"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w:t>
                  </w:r>
                </w:p>
              </w:tc>
            </w:tr>
          </w:tbl>
          <w:p>
            <w:pPr>
              <w:pStyle w:val="6"/>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无组织排放废气执行标准见下表。</w:t>
            </w:r>
          </w:p>
          <w:p>
            <w:pPr>
              <w:pStyle w:val="46"/>
              <w:spacing w:beforeLines="0" w:line="240" w:lineRule="auto"/>
              <w:ind w:firstLine="0" w:firstLineChars="0"/>
              <w:jc w:val="center"/>
              <w:rPr>
                <w:rFonts w:hint="default" w:ascii="Times New Roman" w:hAnsi="Times New Roman" w:eastAsia="仿宋" w:cs="Times New Roman"/>
                <w:b/>
                <w:color w:val="auto"/>
                <w:sz w:val="24"/>
                <w:szCs w:val="24"/>
              </w:rPr>
            </w:pPr>
          </w:p>
          <w:p>
            <w:pPr>
              <w:pStyle w:val="46"/>
              <w:spacing w:beforeLines="0" w:line="240" w:lineRule="auto"/>
              <w:ind w:firstLine="0" w:firstLineChars="0"/>
              <w:jc w:val="center"/>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表</w:t>
            </w:r>
            <w:r>
              <w:rPr>
                <w:rFonts w:hint="default" w:ascii="Times New Roman" w:hAnsi="Times New Roman" w:eastAsia="仿宋" w:cs="Times New Roman"/>
                <w:b/>
                <w:color w:val="auto"/>
                <w:sz w:val="24"/>
                <w:szCs w:val="24"/>
                <w:lang w:val="en-US" w:eastAsia="zh-CN"/>
              </w:rPr>
              <w:t>3-1</w:t>
            </w:r>
            <w:r>
              <w:rPr>
                <w:rFonts w:hint="eastAsia" w:ascii="Times New Roman" w:hAnsi="Times New Roman" w:eastAsia="仿宋" w:cs="Times New Roman"/>
                <w:b/>
                <w:color w:val="auto"/>
                <w:sz w:val="24"/>
                <w:szCs w:val="24"/>
                <w:lang w:val="en-US" w:eastAsia="zh-CN"/>
              </w:rPr>
              <w:t>3</w:t>
            </w:r>
            <w:r>
              <w:rPr>
                <w:rFonts w:hint="default" w:ascii="Times New Roman" w:hAnsi="Times New Roman" w:eastAsia="仿宋" w:cs="Times New Roman"/>
                <w:b/>
                <w:color w:val="auto"/>
                <w:sz w:val="24"/>
                <w:szCs w:val="24"/>
              </w:rPr>
              <w:t xml:space="preserve"> 无组织排放大气污染物排放标准</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2855"/>
              <w:gridCol w:w="2042"/>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 w:hRule="atLeast"/>
                <w:jc w:val="center"/>
              </w:trPr>
              <w:tc>
                <w:tcPr>
                  <w:tcW w:w="83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w:t>
                  </w:r>
                </w:p>
              </w:tc>
              <w:tc>
                <w:tcPr>
                  <w:tcW w:w="171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执行标准</w:t>
                  </w:r>
                </w:p>
              </w:tc>
              <w:tc>
                <w:tcPr>
                  <w:tcW w:w="122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无组织排放监控浓度限值mg/m</w:t>
                  </w:r>
                  <w:r>
                    <w:rPr>
                      <w:rFonts w:hint="default" w:ascii="Times New Roman" w:hAnsi="Times New Roman" w:eastAsia="仿宋" w:cs="Times New Roman"/>
                      <w:b/>
                      <w:bCs/>
                      <w:color w:val="auto"/>
                      <w:sz w:val="21"/>
                      <w:szCs w:val="21"/>
                      <w:vertAlign w:val="superscript"/>
                    </w:rPr>
                    <w:t>3</w:t>
                  </w:r>
                </w:p>
              </w:tc>
              <w:tc>
                <w:tcPr>
                  <w:tcW w:w="12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非甲烷总烃</w:t>
                  </w:r>
                </w:p>
              </w:tc>
              <w:tc>
                <w:tcPr>
                  <w:tcW w:w="171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《大气污染物综合排放标准》（</w:t>
                  </w:r>
                  <w:r>
                    <w:rPr>
                      <w:rFonts w:hint="eastAsia" w:eastAsia="仿宋" w:cs="Times New Roman"/>
                      <w:color w:val="auto"/>
                      <w:sz w:val="21"/>
                      <w:szCs w:val="21"/>
                      <w:lang w:eastAsia="zh-CN"/>
                    </w:rPr>
                    <w:t>DB32/4041-2021</w:t>
                  </w:r>
                  <w:r>
                    <w:rPr>
                      <w:rFonts w:hint="default" w:ascii="Times New Roman" w:hAnsi="Times New Roman" w:eastAsia="仿宋" w:cs="Times New Roman"/>
                      <w:color w:val="auto"/>
                      <w:sz w:val="21"/>
                      <w:szCs w:val="21"/>
                    </w:rPr>
                    <w:t>）表</w:t>
                  </w:r>
                  <w:r>
                    <w:rPr>
                      <w:rFonts w:hint="eastAsia" w:eastAsia="仿宋" w:cs="Times New Roman"/>
                      <w:color w:val="auto"/>
                      <w:sz w:val="21"/>
                      <w:szCs w:val="21"/>
                      <w:lang w:val="en-US" w:eastAsia="zh-CN"/>
                    </w:rPr>
                    <w:t>3</w:t>
                  </w:r>
                  <w:r>
                    <w:rPr>
                      <w:rFonts w:hint="default" w:ascii="Times New Roman" w:hAnsi="Times New Roman" w:eastAsia="仿宋" w:cs="Times New Roman"/>
                      <w:color w:val="auto"/>
                      <w:sz w:val="21"/>
                      <w:szCs w:val="21"/>
                    </w:rPr>
                    <w:t xml:space="preserve"> 标准</w:t>
                  </w:r>
                </w:p>
              </w:tc>
              <w:tc>
                <w:tcPr>
                  <w:tcW w:w="122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4.0</w:t>
                  </w:r>
                </w:p>
              </w:tc>
              <w:tc>
                <w:tcPr>
                  <w:tcW w:w="1226"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厂界浓度最高点</w:t>
                  </w:r>
                </w:p>
              </w:tc>
            </w:tr>
          </w:tbl>
          <w:p>
            <w:pPr>
              <w:ind w:firstLine="0" w:firstLineChars="0"/>
              <w:jc w:val="center"/>
              <w:rPr>
                <w:rFonts w:hint="default" w:eastAsia="宋体" w:cs="Times New Roman"/>
                <w:b/>
                <w:color w:val="auto"/>
                <w:szCs w:val="24"/>
                <w:highlight w:val="none"/>
              </w:rPr>
            </w:pPr>
            <w:r>
              <w:rPr>
                <w:rFonts w:hint="default" w:ascii="Times New Roman" w:hAnsi="Times New Roman" w:eastAsia="仿宋" w:cs="Times New Roman"/>
                <w:b/>
                <w:color w:val="auto"/>
                <w:kern w:val="2"/>
                <w:sz w:val="24"/>
                <w:szCs w:val="24"/>
                <w:lang w:val="en-US" w:eastAsia="zh-CN" w:bidi="ar-SA"/>
              </w:rPr>
              <w:t>表</w:t>
            </w:r>
            <w:r>
              <w:rPr>
                <w:rFonts w:hint="eastAsia" w:eastAsia="仿宋" w:cs="Times New Roman"/>
                <w:b/>
                <w:color w:val="auto"/>
                <w:kern w:val="2"/>
                <w:sz w:val="24"/>
                <w:szCs w:val="24"/>
                <w:lang w:val="en-US" w:eastAsia="zh-CN" w:bidi="ar-SA"/>
              </w:rPr>
              <w:t>3-14厂区内VOCs无组织排放限值</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4839"/>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6" w:type="dxa"/>
                  <w:noWrap w:val="0"/>
                  <w:vAlign w:val="center"/>
                </w:tcPr>
                <w:p>
                  <w:pPr>
                    <w:adjustRightInd w:val="0"/>
                    <w:snapToGrid w:val="0"/>
                    <w:spacing w:line="240" w:lineRule="atLeast"/>
                    <w:ind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污染物名称</w:t>
                  </w:r>
                </w:p>
              </w:tc>
              <w:tc>
                <w:tcPr>
                  <w:tcW w:w="4839" w:type="dxa"/>
                  <w:noWrap w:val="0"/>
                  <w:vAlign w:val="center"/>
                </w:tcPr>
                <w:p>
                  <w:pPr>
                    <w:adjustRightInd w:val="0"/>
                    <w:snapToGrid w:val="0"/>
                    <w:spacing w:line="240" w:lineRule="atLeast"/>
                    <w:ind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执行标准</w:t>
                  </w:r>
                </w:p>
              </w:tc>
              <w:tc>
                <w:tcPr>
                  <w:tcW w:w="2443" w:type="dxa"/>
                  <w:noWrap w:val="0"/>
                  <w:vAlign w:val="center"/>
                </w:tcPr>
                <w:p>
                  <w:pPr>
                    <w:adjustRightInd w:val="0"/>
                    <w:snapToGrid w:val="0"/>
                    <w:spacing w:line="240" w:lineRule="atLeast"/>
                    <w:ind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厂区内特别排放限值</w:t>
                  </w:r>
                </w:p>
                <w:p>
                  <w:pPr>
                    <w:adjustRightInd w:val="0"/>
                    <w:snapToGrid w:val="0"/>
                    <w:spacing w:line="240" w:lineRule="atLeast"/>
                    <w:ind w:firstLine="0" w:firstLineChars="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（mg/m</w:t>
                  </w:r>
                  <w:r>
                    <w:rPr>
                      <w:rFonts w:hint="default" w:ascii="Times New Roman" w:hAnsi="Times New Roman" w:eastAsia="仿宋" w:cs="Times New Roman"/>
                      <w:b/>
                      <w:bCs/>
                      <w:sz w:val="21"/>
                      <w:szCs w:val="21"/>
                      <w:vertAlign w:val="superscript"/>
                    </w:rPr>
                    <w:t>3</w:t>
                  </w:r>
                  <w:r>
                    <w:rPr>
                      <w:rFonts w:hint="default" w:ascii="Times New Roman" w:hAnsi="Times New Roman" w:eastAsia="仿宋"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6" w:type="dxa"/>
                  <w:vMerge w:val="restart"/>
                  <w:noWrap w:val="0"/>
                  <w:vAlign w:val="center"/>
                </w:tcPr>
                <w:p>
                  <w:pPr>
                    <w:adjustRightInd w:val="0"/>
                    <w:snapToGrid w:val="0"/>
                    <w:spacing w:line="240" w:lineRule="atLeast"/>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非甲烷总烃</w:t>
                  </w:r>
                </w:p>
              </w:tc>
              <w:tc>
                <w:tcPr>
                  <w:tcW w:w="4839" w:type="dxa"/>
                  <w:vMerge w:val="restart"/>
                  <w:noWrap w:val="0"/>
                  <w:vAlign w:val="center"/>
                </w:tcPr>
                <w:p>
                  <w:pPr>
                    <w:adjustRightInd w:val="0"/>
                    <w:snapToGrid w:val="0"/>
                    <w:spacing w:line="240" w:lineRule="atLeast"/>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《挥发性有机物无组织排放控制标准》（GB37822-2019）表A.1标准</w:t>
                  </w:r>
                </w:p>
              </w:tc>
              <w:tc>
                <w:tcPr>
                  <w:tcW w:w="2443" w:type="dxa"/>
                  <w:noWrap w:val="0"/>
                  <w:vAlign w:val="center"/>
                </w:tcPr>
                <w:p>
                  <w:pPr>
                    <w:adjustRightInd w:val="0"/>
                    <w:snapToGrid w:val="0"/>
                    <w:spacing w:line="240" w:lineRule="atLeast"/>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6.0</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监控点处1h平均浓度值</w:t>
                  </w:r>
                  <w:r>
                    <w:rPr>
                      <w:rFonts w:hint="default" w:ascii="Times New Roman" w:hAnsi="Times New Roman" w:eastAsia="仿宋"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6" w:type="dxa"/>
                  <w:vMerge w:val="continue"/>
                  <w:noWrap w:val="0"/>
                  <w:vAlign w:val="top"/>
                </w:tcPr>
                <w:p>
                  <w:pPr>
                    <w:adjustRightInd w:val="0"/>
                    <w:snapToGrid w:val="0"/>
                    <w:spacing w:line="240" w:lineRule="atLeast"/>
                    <w:ind w:firstLine="0" w:firstLineChars="0"/>
                    <w:jc w:val="center"/>
                    <w:rPr>
                      <w:rFonts w:hint="default" w:ascii="Times New Roman" w:hAnsi="Times New Roman" w:eastAsia="仿宋" w:cs="Times New Roman"/>
                      <w:sz w:val="21"/>
                      <w:szCs w:val="21"/>
                    </w:rPr>
                  </w:pPr>
                </w:p>
              </w:tc>
              <w:tc>
                <w:tcPr>
                  <w:tcW w:w="4839" w:type="dxa"/>
                  <w:vMerge w:val="continue"/>
                  <w:noWrap w:val="0"/>
                  <w:vAlign w:val="top"/>
                </w:tcPr>
                <w:p>
                  <w:pPr>
                    <w:adjustRightInd w:val="0"/>
                    <w:snapToGrid w:val="0"/>
                    <w:spacing w:line="240" w:lineRule="atLeast"/>
                    <w:ind w:firstLine="0" w:firstLineChars="0"/>
                    <w:jc w:val="center"/>
                    <w:rPr>
                      <w:rFonts w:hint="default" w:ascii="Times New Roman" w:hAnsi="Times New Roman" w:eastAsia="仿宋" w:cs="Times New Roman"/>
                      <w:sz w:val="21"/>
                      <w:szCs w:val="21"/>
                    </w:rPr>
                  </w:pPr>
                </w:p>
              </w:tc>
              <w:tc>
                <w:tcPr>
                  <w:tcW w:w="2443" w:type="dxa"/>
                  <w:noWrap w:val="0"/>
                  <w:vAlign w:val="center"/>
                </w:tcPr>
                <w:p>
                  <w:pPr>
                    <w:adjustRightInd w:val="0"/>
                    <w:snapToGrid w:val="0"/>
                    <w:spacing w:line="240" w:lineRule="atLeast"/>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监控点处任意一次浓度值</w:t>
                  </w:r>
                  <w:r>
                    <w:rPr>
                      <w:rFonts w:hint="default" w:ascii="Times New Roman" w:hAnsi="Times New Roman" w:eastAsia="仿宋" w:cs="Times New Roman"/>
                      <w:sz w:val="21"/>
                      <w:szCs w:val="21"/>
                      <w:lang w:eastAsia="zh-CN"/>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3.噪声</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本项目声环境</w:t>
            </w:r>
            <w:r>
              <w:rPr>
                <w:rFonts w:hint="default" w:ascii="Times New Roman" w:hAnsi="Times New Roman" w:eastAsia="仿宋" w:cs="Times New Roman"/>
                <w:color w:val="auto"/>
                <w:sz w:val="24"/>
                <w:szCs w:val="24"/>
                <w:lang w:val="en-US" w:eastAsia="zh-CN"/>
              </w:rPr>
              <w:t>北、东</w:t>
            </w:r>
            <w:r>
              <w:rPr>
                <w:rFonts w:hint="default" w:ascii="Times New Roman" w:hAnsi="Times New Roman" w:eastAsia="仿宋" w:cs="Times New Roman"/>
                <w:color w:val="auto"/>
                <w:sz w:val="24"/>
                <w:szCs w:val="24"/>
              </w:rPr>
              <w:t>厂界声环境执行《工业企业厂界环境噪声排放标准》（GB 12348-2008）中</w:t>
            </w:r>
            <w:r>
              <w:rPr>
                <w:rFonts w:hint="default"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rPr>
              <w:t>类标准</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西、南厂界执行其中4类标准</w:t>
            </w:r>
            <w:r>
              <w:rPr>
                <w:rFonts w:hint="default" w:ascii="Times New Roman" w:hAnsi="Times New Roman" w:eastAsia="仿宋" w:cs="Times New Roman"/>
                <w:color w:val="auto"/>
                <w:sz w:val="24"/>
                <w:szCs w:val="24"/>
              </w:rPr>
              <w:t>。标准值见</w:t>
            </w:r>
            <w:r>
              <w:rPr>
                <w:rFonts w:hint="eastAsia" w:ascii="Times New Roman" w:hAnsi="Times New Roman" w:eastAsia="仿宋" w:cs="Times New Roman"/>
                <w:color w:val="auto"/>
                <w:sz w:val="24"/>
                <w:szCs w:val="24"/>
                <w:lang w:val="en-US" w:eastAsia="zh-CN"/>
              </w:rPr>
              <w:t>下</w:t>
            </w:r>
            <w:r>
              <w:rPr>
                <w:rFonts w:hint="default" w:ascii="Times New Roman" w:hAnsi="Times New Roman" w:eastAsia="仿宋" w:cs="Times New Roman"/>
                <w:color w:val="auto"/>
                <w:sz w:val="24"/>
                <w:szCs w:val="24"/>
              </w:rPr>
              <w:t>表。</w:t>
            </w:r>
          </w:p>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rPr>
            </w:pPr>
            <w:r>
              <w:rPr>
                <w:rFonts w:hint="default" w:ascii="Times New Roman" w:hAnsi="Times New Roman" w:eastAsia="仿宋" w:cs="Times New Roman"/>
                <w:color w:val="auto"/>
                <w:sz w:val="24"/>
                <w:szCs w:val="24"/>
              </w:rPr>
              <w:t>表</w:t>
            </w:r>
            <w:r>
              <w:rPr>
                <w:rFonts w:hint="eastAsia" w:ascii="Times New Roman" w:hAnsi="Times New Roman" w:eastAsia="仿宋" w:cs="Times New Roman"/>
                <w:b/>
                <w:bCs/>
                <w:color w:val="auto"/>
                <w:sz w:val="24"/>
                <w:szCs w:val="24"/>
                <w:lang w:val="en-US" w:eastAsia="zh-CN"/>
              </w:rPr>
              <w:t>3-15</w:t>
            </w:r>
            <w:r>
              <w:rPr>
                <w:rFonts w:hint="default" w:ascii="Times New Roman" w:hAnsi="Times New Roman" w:eastAsia="仿宋" w:cs="Times New Roman"/>
                <w:b/>
                <w:bCs/>
                <w:color w:val="auto"/>
                <w:sz w:val="24"/>
                <w:szCs w:val="24"/>
              </w:rPr>
              <w:t>工业企业厂界环境噪声排放限值单位：dB（A）</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9"/>
              <w:gridCol w:w="1410"/>
              <w:gridCol w:w="1444"/>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3" w:type="pct"/>
                  <w:shd w:val="clear" w:color="auto" w:fill="auto"/>
                  <w:vAlign w:val="center"/>
                </w:tcPr>
                <w:p>
                  <w:pPr>
                    <w:pStyle w:val="6"/>
                    <w:keepNext w:val="0"/>
                    <w:keepLines w:val="0"/>
                    <w:pageBreakBefore w:val="0"/>
                    <w:widowControl w:val="0"/>
                    <w:kinsoku/>
                    <w:wordWrap/>
                    <w:overflowPunct/>
                    <w:topLinePunct w:val="0"/>
                    <w:autoSpaceDE/>
                    <w:autoSpaceDN/>
                    <w:bidi w:val="0"/>
                    <w:adjustRightInd/>
                    <w:snapToGrid w:val="0"/>
                    <w:spacing w:after="0" w:line="240" w:lineRule="auto"/>
                    <w:ind w:right="113"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声环境功能区划类别</w:t>
                  </w:r>
                </w:p>
              </w:tc>
              <w:tc>
                <w:tcPr>
                  <w:tcW w:w="846" w:type="pct"/>
                  <w:shd w:val="clear" w:color="auto" w:fill="auto"/>
                  <w:vAlign w:val="center"/>
                </w:tcPr>
                <w:p>
                  <w:pPr>
                    <w:pStyle w:val="6"/>
                    <w:keepNext w:val="0"/>
                    <w:keepLines w:val="0"/>
                    <w:pageBreakBefore w:val="0"/>
                    <w:widowControl w:val="0"/>
                    <w:kinsoku/>
                    <w:wordWrap/>
                    <w:overflowPunct/>
                    <w:topLinePunct w:val="0"/>
                    <w:autoSpaceDE/>
                    <w:autoSpaceDN/>
                    <w:bidi w:val="0"/>
                    <w:adjustRightInd/>
                    <w:snapToGrid w:val="0"/>
                    <w:spacing w:after="0" w:line="240" w:lineRule="auto"/>
                    <w:ind w:right="113"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昼间</w:t>
                  </w:r>
                </w:p>
              </w:tc>
              <w:tc>
                <w:tcPr>
                  <w:tcW w:w="866" w:type="pct"/>
                  <w:vAlign w:val="center"/>
                </w:tcPr>
                <w:p>
                  <w:pPr>
                    <w:pStyle w:val="6"/>
                    <w:keepNext w:val="0"/>
                    <w:keepLines w:val="0"/>
                    <w:pageBreakBefore w:val="0"/>
                    <w:widowControl w:val="0"/>
                    <w:kinsoku/>
                    <w:wordWrap/>
                    <w:overflowPunct/>
                    <w:topLinePunct w:val="0"/>
                    <w:autoSpaceDE/>
                    <w:autoSpaceDN/>
                    <w:bidi w:val="0"/>
                    <w:adjustRightInd/>
                    <w:snapToGrid w:val="0"/>
                    <w:spacing w:after="0" w:line="240" w:lineRule="auto"/>
                    <w:ind w:right="113"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夜间</w:t>
                  </w:r>
                </w:p>
              </w:tc>
              <w:tc>
                <w:tcPr>
                  <w:tcW w:w="1763" w:type="pct"/>
                  <w:shd w:val="clear" w:color="auto" w:fill="auto"/>
                  <w:vAlign w:val="center"/>
                </w:tcPr>
                <w:p>
                  <w:pPr>
                    <w:pStyle w:val="6"/>
                    <w:keepNext w:val="0"/>
                    <w:keepLines w:val="0"/>
                    <w:pageBreakBefore w:val="0"/>
                    <w:widowControl w:val="0"/>
                    <w:kinsoku/>
                    <w:wordWrap/>
                    <w:overflowPunct/>
                    <w:topLinePunct w:val="0"/>
                    <w:autoSpaceDE/>
                    <w:autoSpaceDN/>
                    <w:bidi w:val="0"/>
                    <w:adjustRightInd/>
                    <w:snapToGrid w:val="0"/>
                    <w:spacing w:after="0" w:line="240" w:lineRule="auto"/>
                    <w:ind w:right="113"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执行区域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3" w:type="pct"/>
                  <w:shd w:val="clear" w:color="auto" w:fill="auto"/>
                  <w:vAlign w:val="center"/>
                </w:tcPr>
                <w:p>
                  <w:pPr>
                    <w:pStyle w:val="40"/>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highlight w:val="none"/>
                      <w:lang w:val="en-US" w:eastAsia="zh-CN"/>
                    </w:rPr>
                    <w:t>2</w:t>
                  </w:r>
                  <w:r>
                    <w:rPr>
                      <w:rFonts w:hint="default" w:ascii="Times New Roman" w:hAnsi="Times New Roman" w:eastAsia="仿宋" w:cs="Times New Roman"/>
                      <w:color w:val="auto"/>
                      <w:highlight w:val="none"/>
                    </w:rPr>
                    <w:t>类</w:t>
                  </w:r>
                </w:p>
              </w:tc>
              <w:tc>
                <w:tcPr>
                  <w:tcW w:w="846" w:type="pct"/>
                  <w:shd w:val="clear" w:color="auto" w:fill="auto"/>
                  <w:vAlign w:val="center"/>
                </w:tcPr>
                <w:p>
                  <w:pPr>
                    <w:pStyle w:val="40"/>
                    <w:ind w:firstLine="0" w:firstLineChars="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highlight w:val="none"/>
                      <w:lang w:val="en-US" w:eastAsia="zh-CN"/>
                    </w:rPr>
                    <w:t>60</w:t>
                  </w:r>
                </w:p>
              </w:tc>
              <w:tc>
                <w:tcPr>
                  <w:tcW w:w="866" w:type="pct"/>
                  <w:vAlign w:val="center"/>
                </w:tcPr>
                <w:p>
                  <w:pPr>
                    <w:pStyle w:val="40"/>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highlight w:val="none"/>
                    </w:rPr>
                    <w:t>5</w:t>
                  </w:r>
                  <w:r>
                    <w:rPr>
                      <w:rFonts w:hint="default" w:ascii="Times New Roman" w:hAnsi="Times New Roman" w:eastAsia="仿宋" w:cs="Times New Roman"/>
                      <w:color w:val="auto"/>
                      <w:highlight w:val="none"/>
                      <w:lang w:val="en-US" w:eastAsia="zh-CN"/>
                    </w:rPr>
                    <w:t>0</w:t>
                  </w:r>
                </w:p>
              </w:tc>
              <w:tc>
                <w:tcPr>
                  <w:tcW w:w="1763" w:type="pct"/>
                  <w:shd w:val="clear" w:color="auto" w:fill="auto"/>
                  <w:vAlign w:val="center"/>
                </w:tcPr>
                <w:p>
                  <w:pPr>
                    <w:pStyle w:val="40"/>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highlight w:val="none"/>
                      <w:lang w:val="en-US" w:eastAsia="zh-CN"/>
                    </w:rPr>
                    <w:t>东、北</w:t>
                  </w:r>
                  <w:r>
                    <w:rPr>
                      <w:rFonts w:hint="default" w:ascii="Times New Roman" w:hAnsi="Times New Roman" w:eastAsia="仿宋" w:cs="Times New Roman"/>
                      <w:color w:val="auto"/>
                      <w:highlight w:val="none"/>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3" w:type="pct"/>
                  <w:shd w:val="clear" w:color="auto" w:fill="auto"/>
                  <w:vAlign w:val="center"/>
                </w:tcPr>
                <w:p>
                  <w:pPr>
                    <w:pStyle w:val="40"/>
                    <w:ind w:firstLine="0" w:firstLineChars="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highlight w:val="none"/>
                      <w:lang w:val="en-US" w:eastAsia="zh-CN"/>
                    </w:rPr>
                    <w:t>4类</w:t>
                  </w:r>
                </w:p>
              </w:tc>
              <w:tc>
                <w:tcPr>
                  <w:tcW w:w="846" w:type="pct"/>
                  <w:shd w:val="clear" w:color="auto" w:fill="auto"/>
                  <w:vAlign w:val="center"/>
                </w:tcPr>
                <w:p>
                  <w:pPr>
                    <w:pStyle w:val="40"/>
                    <w:ind w:firstLine="0" w:firstLineChars="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highlight w:val="none"/>
                      <w:lang w:val="en-US" w:eastAsia="zh-CN"/>
                    </w:rPr>
                    <w:t>70</w:t>
                  </w:r>
                </w:p>
              </w:tc>
              <w:tc>
                <w:tcPr>
                  <w:tcW w:w="866" w:type="pct"/>
                  <w:vAlign w:val="center"/>
                </w:tcPr>
                <w:p>
                  <w:pPr>
                    <w:pStyle w:val="40"/>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highlight w:val="none"/>
                      <w:lang w:val="en-US" w:eastAsia="zh-CN"/>
                    </w:rPr>
                    <w:t>55</w:t>
                  </w:r>
                </w:p>
              </w:tc>
              <w:tc>
                <w:tcPr>
                  <w:tcW w:w="1763" w:type="pct"/>
                  <w:shd w:val="clear" w:color="auto" w:fill="auto"/>
                  <w:vAlign w:val="center"/>
                </w:tcPr>
                <w:p>
                  <w:pPr>
                    <w:pStyle w:val="40"/>
                    <w:ind w:firstLine="0" w:firstLineChars="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highlight w:val="none"/>
                      <w:lang w:val="en-US" w:eastAsia="zh-CN"/>
                    </w:rPr>
                    <w:t>西、南厂界</w:t>
                  </w:r>
                </w:p>
              </w:tc>
            </w:tr>
          </w:tbl>
          <w:p>
            <w:pPr>
              <w:pStyle w:val="6"/>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仿宋" w:hAnsi="仿宋" w:eastAsia="仿宋" w:cs="仿宋"/>
                <w:color w:val="auto"/>
                <w:sz w:val="24"/>
                <w:szCs w:val="24"/>
              </w:rPr>
            </w:pPr>
            <w:r>
              <w:rPr>
                <w:rFonts w:hint="default" w:ascii="仿宋" w:hAnsi="仿宋" w:eastAsia="仿宋" w:cs="仿宋"/>
                <w:color w:val="auto"/>
                <w:sz w:val="24"/>
                <w:szCs w:val="24"/>
              </w:rPr>
              <w:t>项目施工期噪声执行《建筑施工场界环境噪声排放标准》（GB12523-2011），具体标准值见</w:t>
            </w:r>
            <w:r>
              <w:rPr>
                <w:rFonts w:hint="eastAsia" w:ascii="仿宋" w:hAnsi="仿宋" w:eastAsia="仿宋" w:cs="仿宋"/>
                <w:color w:val="auto"/>
                <w:sz w:val="24"/>
                <w:szCs w:val="24"/>
                <w:lang w:val="en-US" w:eastAsia="zh-CN"/>
              </w:rPr>
              <w:t>下</w:t>
            </w:r>
            <w:r>
              <w:rPr>
                <w:rFonts w:hint="default" w:ascii="仿宋" w:hAnsi="仿宋" w:eastAsia="仿宋" w:cs="仿宋"/>
                <w:color w:val="auto"/>
                <w:sz w:val="24"/>
                <w:szCs w:val="24"/>
              </w:rPr>
              <w:t>表。</w:t>
            </w:r>
          </w:p>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bCs/>
                <w:color w:val="auto"/>
                <w:sz w:val="24"/>
                <w:szCs w:val="24"/>
              </w:rPr>
              <w:t>表</w:t>
            </w:r>
            <w:r>
              <w:rPr>
                <w:rFonts w:hint="eastAsia" w:ascii="Times New Roman" w:hAnsi="Times New Roman" w:eastAsia="仿宋" w:cs="Times New Roman"/>
                <w:b/>
                <w:bCs/>
                <w:color w:val="auto"/>
                <w:sz w:val="24"/>
                <w:szCs w:val="24"/>
                <w:lang w:val="en-US" w:eastAsia="zh-CN"/>
              </w:rPr>
              <w:t>3-1</w:t>
            </w:r>
            <w:r>
              <w:rPr>
                <w:rFonts w:hint="eastAsia" w:eastAsia="仿宋" w:cs="Times New Roman"/>
                <w:b/>
                <w:bCs/>
                <w:color w:val="auto"/>
                <w:sz w:val="24"/>
                <w:szCs w:val="24"/>
                <w:lang w:val="en-US" w:eastAsia="zh-CN"/>
              </w:rPr>
              <w:t>6</w:t>
            </w:r>
            <w:r>
              <w:rPr>
                <w:rFonts w:hint="default" w:ascii="Times New Roman" w:hAnsi="Times New Roman" w:eastAsia="仿宋" w:cs="Times New Roman"/>
                <w:b/>
                <w:bCs/>
                <w:color w:val="auto"/>
                <w:sz w:val="24"/>
                <w:szCs w:val="24"/>
              </w:rPr>
              <w:t>建筑施工场界环境噪声排放限值单位：dB（A）</w:t>
            </w:r>
          </w:p>
          <w:tbl>
            <w:tblPr>
              <w:tblStyle w:val="1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166"/>
              <w:gridCol w:w="4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2500" w:type="pct"/>
                  <w:vAlign w:val="center"/>
                </w:tcPr>
                <w:p>
                  <w:pPr>
                    <w:pStyle w:val="6"/>
                    <w:keepNext w:val="0"/>
                    <w:keepLines w:val="0"/>
                    <w:pageBreakBefore w:val="0"/>
                    <w:widowControl w:val="0"/>
                    <w:kinsoku/>
                    <w:wordWrap/>
                    <w:overflowPunct/>
                    <w:topLinePunct w:val="0"/>
                    <w:autoSpaceDE/>
                    <w:autoSpaceDN/>
                    <w:bidi w:val="0"/>
                    <w:adjustRightInd/>
                    <w:snapToGrid w:val="0"/>
                    <w:spacing w:after="0" w:line="240" w:lineRule="auto"/>
                    <w:ind w:right="113"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昼间</w:t>
                  </w:r>
                </w:p>
              </w:tc>
              <w:tc>
                <w:tcPr>
                  <w:tcW w:w="2500" w:type="pct"/>
                  <w:vAlign w:val="center"/>
                </w:tcPr>
                <w:p>
                  <w:pPr>
                    <w:pStyle w:val="6"/>
                    <w:keepNext w:val="0"/>
                    <w:keepLines w:val="0"/>
                    <w:pageBreakBefore w:val="0"/>
                    <w:widowControl w:val="0"/>
                    <w:kinsoku/>
                    <w:wordWrap/>
                    <w:overflowPunct/>
                    <w:topLinePunct w:val="0"/>
                    <w:autoSpaceDE/>
                    <w:autoSpaceDN/>
                    <w:bidi w:val="0"/>
                    <w:adjustRightInd/>
                    <w:snapToGrid w:val="0"/>
                    <w:spacing w:after="0" w:line="240" w:lineRule="auto"/>
                    <w:ind w:right="113"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vAlign w:val="center"/>
                </w:tcPr>
                <w:p>
                  <w:pPr>
                    <w:pStyle w:val="6"/>
                    <w:keepNext w:val="0"/>
                    <w:keepLines w:val="0"/>
                    <w:pageBreakBefore w:val="0"/>
                    <w:widowControl w:val="0"/>
                    <w:kinsoku/>
                    <w:wordWrap/>
                    <w:overflowPunct/>
                    <w:topLinePunct w:val="0"/>
                    <w:autoSpaceDE/>
                    <w:autoSpaceDN/>
                    <w:bidi w:val="0"/>
                    <w:adjustRightInd/>
                    <w:snapToGrid w:val="0"/>
                    <w:spacing w:after="0" w:line="240" w:lineRule="auto"/>
                    <w:ind w:right="113"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70</w:t>
                  </w:r>
                </w:p>
              </w:tc>
              <w:tc>
                <w:tcPr>
                  <w:tcW w:w="2500" w:type="pct"/>
                  <w:vAlign w:val="center"/>
                </w:tcPr>
                <w:p>
                  <w:pPr>
                    <w:pStyle w:val="6"/>
                    <w:keepNext w:val="0"/>
                    <w:keepLines w:val="0"/>
                    <w:pageBreakBefore w:val="0"/>
                    <w:widowControl w:val="0"/>
                    <w:kinsoku/>
                    <w:wordWrap/>
                    <w:overflowPunct/>
                    <w:topLinePunct w:val="0"/>
                    <w:autoSpaceDE/>
                    <w:autoSpaceDN/>
                    <w:bidi w:val="0"/>
                    <w:adjustRightInd/>
                    <w:snapToGrid w:val="0"/>
                    <w:spacing w:after="0" w:line="240" w:lineRule="auto"/>
                    <w:ind w:right="113"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55</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default"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4</w:t>
            </w:r>
            <w:r>
              <w:rPr>
                <w:rFonts w:hint="default" w:ascii="Times New Roman" w:hAnsi="Times New Roman" w:eastAsia="仿宋" w:cs="Times New Roman"/>
                <w:kern w:val="0"/>
                <w:sz w:val="24"/>
                <w:szCs w:val="24"/>
                <w:lang w:val="en-US" w:eastAsia="zh-CN"/>
              </w:rPr>
              <w:t>、固体废弃物</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宋体" w:hAnsi="宋体" w:cs="宋体"/>
                <w:kern w:val="0"/>
                <w:szCs w:val="21"/>
                <w:lang w:val="en-US" w:eastAsia="zh-CN"/>
              </w:rPr>
            </w:pPr>
            <w:r>
              <w:rPr>
                <w:rFonts w:hint="default" w:ascii="Times New Roman" w:hAnsi="Times New Roman" w:eastAsia="仿宋" w:cs="Times New Roman"/>
                <w:kern w:val="0"/>
                <w:sz w:val="24"/>
                <w:szCs w:val="24"/>
                <w:lang w:val="en-US" w:eastAsia="zh-CN"/>
              </w:rPr>
              <w:t>一般固废执行《一般工业固体废物贮存</w:t>
            </w:r>
            <w:r>
              <w:rPr>
                <w:rFonts w:hint="eastAsia" w:ascii="Times New Roman" w:hAnsi="Times New Roman" w:eastAsia="仿宋" w:cs="Times New Roman"/>
                <w:kern w:val="0"/>
                <w:sz w:val="24"/>
                <w:szCs w:val="24"/>
                <w:lang w:val="en-US" w:eastAsia="zh-CN"/>
              </w:rPr>
              <w:t>和填埋</w:t>
            </w:r>
            <w:r>
              <w:rPr>
                <w:rFonts w:hint="default" w:ascii="Times New Roman" w:hAnsi="Times New Roman" w:eastAsia="仿宋" w:cs="Times New Roman"/>
                <w:kern w:val="0"/>
                <w:sz w:val="24"/>
                <w:szCs w:val="24"/>
                <w:lang w:val="en-US" w:eastAsia="zh-CN"/>
              </w:rPr>
              <w:t>污染控制标准》（GB18599-20</w:t>
            </w:r>
            <w:r>
              <w:rPr>
                <w:rFonts w:hint="eastAsia" w:ascii="Times New Roman" w:hAnsi="Times New Roman" w:eastAsia="仿宋" w:cs="Times New Roman"/>
                <w:kern w:val="0"/>
                <w:sz w:val="24"/>
                <w:szCs w:val="24"/>
                <w:lang w:val="en-US" w:eastAsia="zh-CN"/>
              </w:rPr>
              <w:t>20</w:t>
            </w:r>
            <w:r>
              <w:rPr>
                <w:rFonts w:hint="default" w:ascii="Times New Roman" w:hAnsi="Times New Roman" w:eastAsia="仿宋" w:cs="Times New Roman"/>
                <w:kern w:val="0"/>
                <w:sz w:val="24"/>
                <w:szCs w:val="24"/>
                <w:lang w:val="en-US" w:eastAsia="zh-CN"/>
              </w:rPr>
              <w:t>），危险固废执行《危险废物贮存污染控制标准》（GB18597-2001），同时执行环境保护部公告2013年第36号《关于发布〈一般工业固体废物贮存、处置场污染控制标准〉（GB18599-2001）等3项国家污染物控制标准修改单的公告》中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559" w:type="dxa"/>
            <w:noWrap w:val="0"/>
            <w:vAlign w:val="center"/>
          </w:tcPr>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总量</w:t>
            </w:r>
          </w:p>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控制</w:t>
            </w:r>
          </w:p>
          <w:p>
            <w:pPr>
              <w:adjustRightInd w:val="0"/>
              <w:snapToGrid w:val="0"/>
              <w:jc w:val="center"/>
              <w:rPr>
                <w:rFonts w:hint="eastAsia" w:ascii="仿宋" w:hAnsi="仿宋" w:eastAsia="仿宋" w:cs="仿宋"/>
                <w:kern w:val="0"/>
                <w:szCs w:val="21"/>
              </w:rPr>
            </w:pPr>
            <w:r>
              <w:rPr>
                <w:rFonts w:hint="eastAsia" w:ascii="仿宋" w:hAnsi="仿宋" w:eastAsia="仿宋" w:cs="仿宋"/>
                <w:kern w:val="0"/>
                <w:szCs w:val="21"/>
              </w:rPr>
              <w:t>指标</w:t>
            </w:r>
          </w:p>
        </w:tc>
        <w:tc>
          <w:tcPr>
            <w:tcW w:w="8502"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表3-</w:t>
            </w:r>
            <w:r>
              <w:rPr>
                <w:rFonts w:hint="eastAsia" w:ascii="Times New Roman" w:hAnsi="Times New Roman" w:eastAsia="仿宋" w:cs="Times New Roman"/>
                <w:b/>
                <w:bCs/>
                <w:kern w:val="0"/>
                <w:sz w:val="24"/>
                <w:szCs w:val="24"/>
                <w:lang w:val="en-US" w:eastAsia="zh-CN"/>
              </w:rPr>
              <w:t>1</w:t>
            </w:r>
            <w:r>
              <w:rPr>
                <w:rFonts w:hint="eastAsia" w:eastAsia="仿宋" w:cs="Times New Roman"/>
                <w:b/>
                <w:bCs/>
                <w:kern w:val="0"/>
                <w:sz w:val="24"/>
                <w:szCs w:val="24"/>
                <w:lang w:val="en-US" w:eastAsia="zh-CN"/>
              </w:rPr>
              <w:t>7</w:t>
            </w:r>
            <w:r>
              <w:rPr>
                <w:rFonts w:hint="default" w:ascii="Times New Roman" w:hAnsi="Times New Roman" w:eastAsia="仿宋" w:cs="Times New Roman"/>
                <w:b/>
                <w:bCs/>
                <w:kern w:val="0"/>
                <w:sz w:val="24"/>
                <w:szCs w:val="24"/>
                <w:lang w:val="en-US" w:eastAsia="zh-CN"/>
              </w:rPr>
              <w:t xml:space="preserve">  </w:t>
            </w:r>
            <w:r>
              <w:rPr>
                <w:rFonts w:hint="eastAsia" w:ascii="Times New Roman" w:hAnsi="Times New Roman" w:eastAsia="仿宋" w:cs="Times New Roman"/>
                <w:b/>
                <w:bCs/>
                <w:kern w:val="0"/>
                <w:sz w:val="24"/>
                <w:szCs w:val="24"/>
                <w:lang w:val="en-US" w:eastAsia="zh-CN"/>
              </w:rPr>
              <w:t>污染物排放总量控制指标 单位：t/a</w:t>
            </w:r>
          </w:p>
          <w:tbl>
            <w:tblPr>
              <w:tblStyle w:val="17"/>
              <w:tblW w:w="8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22"/>
              <w:gridCol w:w="488"/>
              <w:gridCol w:w="749"/>
              <w:gridCol w:w="905"/>
              <w:gridCol w:w="834"/>
              <w:gridCol w:w="903"/>
              <w:gridCol w:w="847"/>
              <w:gridCol w:w="820"/>
              <w:gridCol w:w="876"/>
              <w:gridCol w:w="831"/>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5" w:hRule="atLeast"/>
              </w:trPr>
              <w:tc>
                <w:tcPr>
                  <w:tcW w:w="824" w:type="dxa"/>
                  <w:gridSpan w:val="2"/>
                  <w:noWrap w:val="0"/>
                  <w:vAlign w:val="center"/>
                </w:tcPr>
                <w:p>
                  <w:pPr>
                    <w:widowControl/>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类别</w:t>
                  </w:r>
                </w:p>
              </w:tc>
              <w:tc>
                <w:tcPr>
                  <w:tcW w:w="7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污染物名称</w:t>
                  </w:r>
                </w:p>
              </w:tc>
              <w:tc>
                <w:tcPr>
                  <w:tcW w:w="91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原有项目实际排放量</w:t>
                  </w:r>
                  <w:r>
                    <w:rPr>
                      <w:rFonts w:hint="eastAsia" w:ascii="Times New Roman" w:hAnsi="Times New Roman" w:eastAsia="仿宋" w:cs="Times New Roman"/>
                      <w:b/>
                      <w:color w:val="auto"/>
                      <w:kern w:val="0"/>
                      <w:sz w:val="21"/>
                      <w:szCs w:val="21"/>
                      <w:highlight w:val="none"/>
                      <w:lang w:val="en-US" w:eastAsia="zh-CN"/>
                    </w:rPr>
                    <w:t>*</w:t>
                  </w:r>
                  <w:r>
                    <w:rPr>
                      <w:rFonts w:hint="default" w:ascii="Times New Roman" w:hAnsi="Times New Roman" w:eastAsia="仿宋" w:cs="Times New Roman"/>
                      <w:b/>
                      <w:color w:val="auto"/>
                      <w:kern w:val="0"/>
                      <w:sz w:val="21"/>
                      <w:szCs w:val="21"/>
                      <w:highlight w:val="none"/>
                    </w:rPr>
                    <w:t>（t/a</w:t>
                  </w:r>
                  <w:r>
                    <w:rPr>
                      <w:rStyle w:val="47"/>
                      <w:rFonts w:hint="default" w:ascii="Times New Roman" w:hAnsi="Times New Roman" w:eastAsia="仿宋" w:cs="Times New Roman"/>
                      <w:color w:val="auto"/>
                      <w:kern w:val="0"/>
                      <w:highlight w:val="none"/>
                    </w:rPr>
                    <w:t>）</w:t>
                  </w:r>
                </w:p>
              </w:tc>
              <w:tc>
                <w:tcPr>
                  <w:tcW w:w="840"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原有项目环评</w:t>
                  </w:r>
                  <w:r>
                    <w:rPr>
                      <w:rFonts w:hint="default" w:ascii="Times New Roman" w:hAnsi="Times New Roman" w:eastAsia="仿宋" w:cs="Times New Roman"/>
                      <w:b/>
                      <w:color w:val="auto"/>
                      <w:kern w:val="0"/>
                      <w:sz w:val="21"/>
                      <w:szCs w:val="21"/>
                      <w:highlight w:val="none"/>
                      <w:lang w:val="en-US" w:eastAsia="zh-CN"/>
                    </w:rPr>
                    <w:t>及</w:t>
                  </w:r>
                  <w:r>
                    <w:rPr>
                      <w:rFonts w:hint="default" w:ascii="Times New Roman" w:hAnsi="Times New Roman" w:eastAsia="仿宋" w:cs="Times New Roman"/>
                      <w:b/>
                      <w:color w:val="auto"/>
                      <w:kern w:val="0"/>
                      <w:sz w:val="21"/>
                      <w:szCs w:val="21"/>
                      <w:highlight w:val="none"/>
                    </w:rPr>
                    <w:t>批复量（t/a</w:t>
                  </w:r>
                  <w:r>
                    <w:rPr>
                      <w:rStyle w:val="47"/>
                      <w:rFonts w:hint="default" w:ascii="Times New Roman" w:hAnsi="Times New Roman" w:eastAsia="仿宋" w:cs="Times New Roman"/>
                      <w:color w:val="auto"/>
                      <w:kern w:val="0"/>
                      <w:highlight w:val="none"/>
                    </w:rPr>
                    <w:t>）</w:t>
                  </w:r>
                </w:p>
              </w:tc>
              <w:tc>
                <w:tcPr>
                  <w:tcW w:w="912"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本项目排放量（t/a</w:t>
                  </w:r>
                  <w:r>
                    <w:rPr>
                      <w:rStyle w:val="47"/>
                      <w:rFonts w:hint="default" w:ascii="Times New Roman" w:hAnsi="Times New Roman" w:eastAsia="仿宋" w:cs="Times New Roman"/>
                      <w:color w:val="auto"/>
                      <w:kern w:val="0"/>
                      <w:highlight w:val="none"/>
                    </w:rPr>
                    <w:t>）</w:t>
                  </w:r>
                </w:p>
              </w:tc>
              <w:tc>
                <w:tcPr>
                  <w:tcW w:w="8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“以新带老” 削减量（t/a</w:t>
                  </w:r>
                  <w:r>
                    <w:rPr>
                      <w:rStyle w:val="47"/>
                      <w:rFonts w:hint="default" w:ascii="Times New Roman" w:hAnsi="Times New Roman" w:eastAsia="仿宋" w:cs="Times New Roman"/>
                      <w:color w:val="auto"/>
                      <w:kern w:val="0"/>
                      <w:highlight w:val="none"/>
                    </w:rPr>
                    <w:t>）</w:t>
                  </w:r>
                </w:p>
              </w:tc>
              <w:tc>
                <w:tcPr>
                  <w:tcW w:w="825"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全厂排放量（t/a</w:t>
                  </w:r>
                  <w:r>
                    <w:rPr>
                      <w:rStyle w:val="47"/>
                      <w:rFonts w:hint="default" w:ascii="Times New Roman" w:hAnsi="Times New Roman" w:eastAsia="仿宋" w:cs="Times New Roman"/>
                      <w:color w:val="auto"/>
                      <w:kern w:val="0"/>
                      <w:highlight w:val="none"/>
                    </w:rPr>
                    <w:t>）</w:t>
                  </w:r>
                </w:p>
              </w:tc>
              <w:tc>
                <w:tcPr>
                  <w:tcW w:w="88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全厂排放增减量（t/a</w:t>
                  </w:r>
                  <w:r>
                    <w:rPr>
                      <w:rStyle w:val="47"/>
                      <w:rFonts w:hint="default" w:ascii="Times New Roman" w:hAnsi="Times New Roman" w:eastAsia="仿宋" w:cs="Times New Roman"/>
                      <w:color w:val="auto"/>
                      <w:kern w:val="0"/>
                      <w:highlight w:val="none"/>
                    </w:rPr>
                    <w:t>）</w:t>
                  </w:r>
                </w:p>
              </w:tc>
              <w:tc>
                <w:tcPr>
                  <w:tcW w:w="758"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新增排入外环境量（t/a</w:t>
                  </w:r>
                  <w:r>
                    <w:rPr>
                      <w:rStyle w:val="47"/>
                      <w:rFonts w:hint="default" w:ascii="Times New Roman" w:hAnsi="Times New Roman" w:eastAsia="仿宋" w:cs="Times New Roman"/>
                      <w:color w:val="auto"/>
                      <w:kern w:val="0"/>
                      <w:highlight w:val="none"/>
                    </w:rPr>
                    <w:t>）</w:t>
                  </w:r>
                </w:p>
              </w:tc>
              <w:tc>
                <w:tcPr>
                  <w:tcW w:w="770"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申请量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4" w:hRule="atLeast"/>
              </w:trPr>
              <w:tc>
                <w:tcPr>
                  <w:tcW w:w="824" w:type="dxa"/>
                  <w:gridSpan w:val="2"/>
                  <w:vMerge w:val="restart"/>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废水</w:t>
                  </w:r>
                </w:p>
              </w:tc>
              <w:tc>
                <w:tcPr>
                  <w:tcW w:w="7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水量</w:t>
                  </w:r>
                </w:p>
              </w:tc>
              <w:tc>
                <w:tcPr>
                  <w:tcW w:w="91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0</w:t>
                  </w:r>
                </w:p>
              </w:tc>
              <w:tc>
                <w:tcPr>
                  <w:tcW w:w="840"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bidi="ar"/>
                    </w:rPr>
                    <w:t>/</w:t>
                  </w:r>
                </w:p>
              </w:tc>
              <w:tc>
                <w:tcPr>
                  <w:tcW w:w="912"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2"/>
                      <w:highlight w:val="none"/>
                      <w:lang w:val="en-US" w:eastAsia="zh-CN"/>
                    </w:rPr>
                  </w:pPr>
                  <w:r>
                    <w:rPr>
                      <w:rFonts w:hint="default" w:ascii="Times New Roman" w:hAnsi="Times New Roman" w:eastAsia="仿宋" w:cs="Times New Roman"/>
                      <w:color w:val="auto"/>
                      <w:sz w:val="22"/>
                      <w:highlight w:val="none"/>
                      <w:lang w:val="en-US" w:eastAsia="zh-CN"/>
                    </w:rPr>
                    <w:t>192</w:t>
                  </w:r>
                </w:p>
              </w:tc>
              <w:tc>
                <w:tcPr>
                  <w:tcW w:w="8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eastAsia" w:eastAsia="仿宋" w:cs="Times New Roman"/>
                      <w:color w:val="auto"/>
                      <w:kern w:val="0"/>
                      <w:sz w:val="21"/>
                      <w:szCs w:val="21"/>
                      <w:highlight w:val="none"/>
                      <w:lang w:val="en-US" w:eastAsia="zh-CN" w:bidi="ar"/>
                    </w:rPr>
                    <w:t>0</w:t>
                  </w:r>
                </w:p>
              </w:tc>
              <w:tc>
                <w:tcPr>
                  <w:tcW w:w="825"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2"/>
                      <w:highlight w:val="none"/>
                      <w:lang w:val="en-US" w:eastAsia="zh-CN"/>
                    </w:rPr>
                  </w:pPr>
                  <w:r>
                    <w:rPr>
                      <w:rFonts w:hint="default" w:ascii="Times New Roman" w:hAnsi="Times New Roman" w:eastAsia="仿宋" w:cs="Times New Roman"/>
                      <w:color w:val="auto"/>
                      <w:sz w:val="22"/>
                      <w:highlight w:val="none"/>
                      <w:lang w:val="en-US" w:eastAsia="zh-CN"/>
                    </w:rPr>
                    <w:t>192</w:t>
                  </w:r>
                </w:p>
              </w:tc>
              <w:tc>
                <w:tcPr>
                  <w:tcW w:w="88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2"/>
                      <w:highlight w:val="none"/>
                      <w:lang w:val="en-US" w:eastAsia="zh-CN"/>
                    </w:rPr>
                    <w:t>+192</w:t>
                  </w:r>
                </w:p>
              </w:tc>
              <w:tc>
                <w:tcPr>
                  <w:tcW w:w="7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i w:val="0"/>
                      <w:color w:val="000000"/>
                      <w:kern w:val="0"/>
                      <w:sz w:val="21"/>
                      <w:szCs w:val="21"/>
                      <w:u w:val="none"/>
                      <w:lang w:val="en-US" w:eastAsia="zh-CN" w:bidi="ar"/>
                    </w:rPr>
                    <w:t>192</w:t>
                  </w:r>
                </w:p>
              </w:tc>
              <w:tc>
                <w:tcPr>
                  <w:tcW w:w="770"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2"/>
                      <w:highlight w:val="none"/>
                    </w:rPr>
                  </w:pPr>
                  <w:r>
                    <w:rPr>
                      <w:rFonts w:hint="default" w:ascii="Times New Roman" w:hAnsi="Times New Roman" w:eastAsia="仿宋" w:cs="Times New Roman"/>
                      <w:color w:val="auto"/>
                      <w:sz w:val="22"/>
                      <w:highlight w:val="none"/>
                      <w:lang w:val="en-US"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4" w:hRule="atLeast"/>
              </w:trPr>
              <w:tc>
                <w:tcPr>
                  <w:tcW w:w="824" w:type="dxa"/>
                  <w:gridSpan w:val="2"/>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COD</w:t>
                  </w:r>
                </w:p>
              </w:tc>
              <w:tc>
                <w:tcPr>
                  <w:tcW w:w="91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i w:val="0"/>
                      <w:color w:val="000000"/>
                      <w:kern w:val="0"/>
                      <w:sz w:val="21"/>
                      <w:szCs w:val="21"/>
                      <w:u w:val="none"/>
                      <w:lang w:val="en-US" w:eastAsia="zh-CN" w:bidi="ar"/>
                    </w:rPr>
                    <w:t>0</w:t>
                  </w:r>
                </w:p>
              </w:tc>
              <w:tc>
                <w:tcPr>
                  <w:tcW w:w="8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eastAsia="zh-CN" w:bidi="ar"/>
                    </w:rPr>
                  </w:pPr>
                  <w:r>
                    <w:rPr>
                      <w:rFonts w:hint="default" w:ascii="Times New Roman" w:hAnsi="Times New Roman" w:eastAsia="仿宋" w:cs="Times New Roman"/>
                      <w:color w:val="auto"/>
                      <w:kern w:val="0"/>
                      <w:sz w:val="21"/>
                      <w:szCs w:val="21"/>
                      <w:highlight w:val="none"/>
                      <w:lang w:val="en-US" w:eastAsia="zh-CN"/>
                    </w:rPr>
                    <w:t>/</w:t>
                  </w: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0.077</w:t>
                  </w:r>
                </w:p>
              </w:tc>
              <w:tc>
                <w:tcPr>
                  <w:tcW w:w="85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eastAsia" w:eastAsia="仿宋" w:cs="Times New Roman"/>
                      <w:i w:val="0"/>
                      <w:color w:val="000000"/>
                      <w:kern w:val="0"/>
                      <w:sz w:val="21"/>
                      <w:szCs w:val="21"/>
                      <w:u w:val="none"/>
                      <w:lang w:val="en-US" w:eastAsia="zh-CN" w:bidi="ar"/>
                    </w:rPr>
                    <w:t>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2"/>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0.077</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+0.077</w:t>
                  </w:r>
                </w:p>
              </w:tc>
              <w:tc>
                <w:tcPr>
                  <w:tcW w:w="758"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+0.0096</w:t>
                  </w:r>
                </w:p>
              </w:tc>
              <w:tc>
                <w:tcPr>
                  <w:tcW w:w="77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2"/>
                      <w:highlight w:val="none"/>
                    </w:rPr>
                  </w:pPr>
                  <w:r>
                    <w:rPr>
                      <w:rFonts w:hint="default" w:ascii="Times New Roman" w:hAnsi="Times New Roman" w:eastAsia="仿宋" w:cs="Times New Roman"/>
                      <w:i w:val="0"/>
                      <w:color w:val="000000"/>
                      <w:kern w:val="0"/>
                      <w:sz w:val="21"/>
                      <w:szCs w:val="21"/>
                      <w:u w:val="none"/>
                      <w:lang w:val="en-US" w:eastAsia="zh-CN" w:bidi="ar"/>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4" w:hRule="atLeast"/>
              </w:trPr>
              <w:tc>
                <w:tcPr>
                  <w:tcW w:w="824" w:type="dxa"/>
                  <w:gridSpan w:val="2"/>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SS</w:t>
                  </w:r>
                </w:p>
              </w:tc>
              <w:tc>
                <w:tcPr>
                  <w:tcW w:w="91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0</w:t>
                  </w:r>
                </w:p>
              </w:tc>
              <w:tc>
                <w:tcPr>
                  <w:tcW w:w="840"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w:t>
                  </w: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0.058</w:t>
                  </w:r>
                </w:p>
              </w:tc>
              <w:tc>
                <w:tcPr>
                  <w:tcW w:w="8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eastAsia" w:eastAsia="仿宋" w:cs="Times New Roman"/>
                      <w:color w:val="auto"/>
                      <w:kern w:val="0"/>
                      <w:sz w:val="21"/>
                      <w:szCs w:val="21"/>
                      <w:highlight w:val="none"/>
                      <w:lang w:val="en-US" w:eastAsia="zh-CN" w:bidi="ar"/>
                    </w:rPr>
                    <w:t>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2"/>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0.058</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+0.058</w:t>
                  </w:r>
                </w:p>
              </w:tc>
              <w:tc>
                <w:tcPr>
                  <w:tcW w:w="758"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+0.0019</w:t>
                  </w:r>
                </w:p>
              </w:tc>
              <w:tc>
                <w:tcPr>
                  <w:tcW w:w="77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2"/>
                      <w:highlight w:val="none"/>
                    </w:rPr>
                  </w:pPr>
                  <w:r>
                    <w:rPr>
                      <w:rFonts w:hint="default" w:ascii="Times New Roman" w:hAnsi="Times New Roman" w:eastAsia="仿宋" w:cs="Times New Roman"/>
                      <w:i w:val="0"/>
                      <w:color w:val="000000"/>
                      <w:kern w:val="0"/>
                      <w:sz w:val="21"/>
                      <w:szCs w:val="21"/>
                      <w:u w:val="none"/>
                      <w:lang w:val="en-US" w:eastAsia="zh-CN" w:bidi="ar"/>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4" w:hRule="atLeast"/>
              </w:trPr>
              <w:tc>
                <w:tcPr>
                  <w:tcW w:w="824" w:type="dxa"/>
                  <w:gridSpan w:val="2"/>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NH</w:t>
                  </w:r>
                  <w:r>
                    <w:rPr>
                      <w:rFonts w:hint="default" w:ascii="Times New Roman" w:hAnsi="Times New Roman" w:eastAsia="仿宋" w:cs="Times New Roman"/>
                      <w:color w:val="auto"/>
                      <w:kern w:val="0"/>
                      <w:sz w:val="21"/>
                      <w:szCs w:val="21"/>
                      <w:highlight w:val="none"/>
                      <w:vertAlign w:val="subscript"/>
                    </w:rPr>
                    <w:t>3</w:t>
                  </w:r>
                  <w:r>
                    <w:rPr>
                      <w:rFonts w:hint="default" w:ascii="Times New Roman" w:hAnsi="Times New Roman" w:eastAsia="仿宋" w:cs="Times New Roman"/>
                      <w:color w:val="auto"/>
                      <w:kern w:val="0"/>
                      <w:sz w:val="21"/>
                      <w:szCs w:val="21"/>
                      <w:highlight w:val="none"/>
                    </w:rPr>
                    <w:t>-N</w:t>
                  </w:r>
                </w:p>
              </w:tc>
              <w:tc>
                <w:tcPr>
                  <w:tcW w:w="91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i w:val="0"/>
                      <w:color w:val="000000"/>
                      <w:kern w:val="0"/>
                      <w:sz w:val="21"/>
                      <w:szCs w:val="21"/>
                      <w:u w:val="none"/>
                      <w:lang w:val="en-US" w:eastAsia="zh-CN" w:bidi="ar"/>
                    </w:rPr>
                    <w:t>0</w:t>
                  </w:r>
                </w:p>
              </w:tc>
              <w:tc>
                <w:tcPr>
                  <w:tcW w:w="8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val="en-US" w:eastAsia="zh-CN"/>
                    </w:rPr>
                    <w:t>/</w:t>
                  </w: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0.006</w:t>
                  </w:r>
                </w:p>
              </w:tc>
              <w:tc>
                <w:tcPr>
                  <w:tcW w:w="85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eastAsia" w:eastAsia="仿宋" w:cs="Times New Roman"/>
                      <w:i w:val="0"/>
                      <w:color w:val="000000"/>
                      <w:kern w:val="0"/>
                      <w:sz w:val="21"/>
                      <w:szCs w:val="21"/>
                      <w:u w:val="none"/>
                      <w:lang w:val="en-US" w:eastAsia="zh-CN" w:bidi="ar"/>
                    </w:rPr>
                    <w:t>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2"/>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0.006</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+0.006</w:t>
                  </w:r>
                </w:p>
              </w:tc>
              <w:tc>
                <w:tcPr>
                  <w:tcW w:w="758"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+0.00096</w:t>
                  </w:r>
                </w:p>
              </w:tc>
              <w:tc>
                <w:tcPr>
                  <w:tcW w:w="77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2"/>
                      <w:highlight w:val="none"/>
                    </w:rPr>
                  </w:pPr>
                  <w:r>
                    <w:rPr>
                      <w:rFonts w:hint="default" w:ascii="Times New Roman" w:hAnsi="Times New Roman" w:eastAsia="仿宋" w:cs="Times New Roman"/>
                      <w:i w:val="0"/>
                      <w:color w:val="000000"/>
                      <w:kern w:val="0"/>
                      <w:sz w:val="21"/>
                      <w:szCs w:val="21"/>
                      <w:u w:val="none"/>
                      <w:lang w:val="en-US" w:eastAsia="zh-CN" w:bidi="ar"/>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4" w:hRule="atLeast"/>
              </w:trPr>
              <w:tc>
                <w:tcPr>
                  <w:tcW w:w="824" w:type="dxa"/>
                  <w:gridSpan w:val="2"/>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TP</w:t>
                  </w:r>
                </w:p>
              </w:tc>
              <w:tc>
                <w:tcPr>
                  <w:tcW w:w="91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0</w:t>
                  </w:r>
                </w:p>
              </w:tc>
              <w:tc>
                <w:tcPr>
                  <w:tcW w:w="840"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w:t>
                  </w: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0.001</w:t>
                  </w:r>
                </w:p>
              </w:tc>
              <w:tc>
                <w:tcPr>
                  <w:tcW w:w="8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eastAsia" w:eastAsia="仿宋" w:cs="Times New Roman"/>
                      <w:color w:val="auto"/>
                      <w:kern w:val="0"/>
                      <w:sz w:val="21"/>
                      <w:szCs w:val="21"/>
                      <w:highlight w:val="none"/>
                      <w:lang w:val="en-US" w:eastAsia="zh-CN" w:bidi="ar"/>
                    </w:rPr>
                    <w:t>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2"/>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0.001</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+0.001</w:t>
                  </w:r>
                </w:p>
              </w:tc>
              <w:tc>
                <w:tcPr>
                  <w:tcW w:w="758"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+0.0001</w:t>
                  </w:r>
                </w:p>
              </w:tc>
              <w:tc>
                <w:tcPr>
                  <w:tcW w:w="77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2"/>
                      <w:highlight w:val="none"/>
                    </w:rPr>
                  </w:pPr>
                  <w:r>
                    <w:rPr>
                      <w:rFonts w:hint="default" w:ascii="Times New Roman" w:hAnsi="Times New Roman" w:eastAsia="仿宋" w:cs="Times New Roman"/>
                      <w:i w:val="0"/>
                      <w:color w:val="000000"/>
                      <w:kern w:val="0"/>
                      <w:sz w:val="21"/>
                      <w:szCs w:val="21"/>
                      <w:u w:val="none"/>
                      <w:lang w:val="en-US" w:eastAsia="zh-CN"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4" w:hRule="atLeast"/>
              </w:trPr>
              <w:tc>
                <w:tcPr>
                  <w:tcW w:w="824" w:type="dxa"/>
                  <w:gridSpan w:val="2"/>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TN</w:t>
                  </w:r>
                </w:p>
              </w:tc>
              <w:tc>
                <w:tcPr>
                  <w:tcW w:w="91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bidi="ar"/>
                    </w:rPr>
                  </w:pPr>
                  <w:r>
                    <w:rPr>
                      <w:rFonts w:hint="eastAsia" w:eastAsia="仿宋" w:cs="Times New Roman"/>
                      <w:color w:val="auto"/>
                      <w:kern w:val="0"/>
                      <w:sz w:val="21"/>
                      <w:szCs w:val="21"/>
                      <w:highlight w:val="none"/>
                      <w:lang w:val="en-US" w:eastAsia="zh-CN" w:bidi="ar"/>
                    </w:rPr>
                    <w:t>0</w:t>
                  </w:r>
                </w:p>
              </w:tc>
              <w:tc>
                <w:tcPr>
                  <w:tcW w:w="840"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w:t>
                  </w: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0.010</w:t>
                  </w:r>
                </w:p>
              </w:tc>
              <w:tc>
                <w:tcPr>
                  <w:tcW w:w="8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2"/>
                      <w:highlight w:val="none"/>
                      <w:lang w:val="en-US" w:eastAsia="zh-CN"/>
                    </w:rPr>
                  </w:pPr>
                  <w:r>
                    <w:rPr>
                      <w:rFonts w:hint="default" w:ascii="Times New Roman" w:hAnsi="Times New Roman" w:eastAsia="仿宋" w:cs="Times New Roman"/>
                      <w:i w:val="0"/>
                      <w:color w:val="000000"/>
                      <w:kern w:val="0"/>
                      <w:sz w:val="21"/>
                      <w:szCs w:val="21"/>
                      <w:u w:val="none"/>
                      <w:lang w:val="en-US" w:eastAsia="zh-CN" w:bidi="ar"/>
                    </w:rPr>
                    <w:t>0.010</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+0.010</w:t>
                  </w:r>
                </w:p>
              </w:tc>
              <w:tc>
                <w:tcPr>
                  <w:tcW w:w="758"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+0.0023</w:t>
                  </w:r>
                </w:p>
              </w:tc>
              <w:tc>
                <w:tcPr>
                  <w:tcW w:w="77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2"/>
                      <w:highlight w:val="none"/>
                    </w:rPr>
                  </w:pPr>
                  <w:r>
                    <w:rPr>
                      <w:rFonts w:hint="default" w:ascii="Times New Roman" w:hAnsi="Times New Roman" w:eastAsia="仿宋" w:cs="Times New Roman"/>
                      <w:i w:val="0"/>
                      <w:color w:val="000000"/>
                      <w:kern w:val="0"/>
                      <w:sz w:val="21"/>
                      <w:szCs w:val="21"/>
                      <w:u w:val="none"/>
                      <w:lang w:val="en-US" w:eastAsia="zh-CN" w:bidi="ar"/>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62" w:hRule="atLeast"/>
              </w:trPr>
              <w:tc>
                <w:tcPr>
                  <w:tcW w:w="326" w:type="dxa"/>
                  <w:vMerge w:val="restart"/>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废气</w:t>
                  </w:r>
                </w:p>
              </w:tc>
              <w:tc>
                <w:tcPr>
                  <w:tcW w:w="498"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有组织废气</w:t>
                  </w:r>
                </w:p>
              </w:tc>
              <w:tc>
                <w:tcPr>
                  <w:tcW w:w="7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非甲烷总烃</w:t>
                  </w:r>
                </w:p>
              </w:tc>
              <w:tc>
                <w:tcPr>
                  <w:tcW w:w="91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bidi="ar"/>
                    </w:rPr>
                    <w:t>/</w:t>
                  </w:r>
                </w:p>
              </w:tc>
              <w:tc>
                <w:tcPr>
                  <w:tcW w:w="8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w:t>
                  </w:r>
                </w:p>
              </w:tc>
              <w:tc>
                <w:tcPr>
                  <w:tcW w:w="91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0.162</w:t>
                  </w:r>
                </w:p>
              </w:tc>
              <w:tc>
                <w:tcPr>
                  <w:tcW w:w="8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0</w:t>
                  </w:r>
                </w:p>
              </w:tc>
              <w:tc>
                <w:tcPr>
                  <w:tcW w:w="82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0.162</w:t>
                  </w:r>
                </w:p>
              </w:tc>
              <w:tc>
                <w:tcPr>
                  <w:tcW w:w="88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bidi="ar"/>
                    </w:rPr>
                    <w:t>+0.162</w:t>
                  </w:r>
                </w:p>
              </w:tc>
              <w:tc>
                <w:tcPr>
                  <w:tcW w:w="758"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val="en-US" w:eastAsia="zh-CN" w:bidi="ar"/>
                    </w:rPr>
                    <w:t>+0.162</w:t>
                  </w:r>
                </w:p>
              </w:tc>
              <w:tc>
                <w:tcPr>
                  <w:tcW w:w="7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4" w:hRule="atLeast"/>
              </w:trPr>
              <w:tc>
                <w:tcPr>
                  <w:tcW w:w="326" w:type="dxa"/>
                  <w:vMerge w:val="continue"/>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p>
              </w:tc>
              <w:tc>
                <w:tcPr>
                  <w:tcW w:w="498"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无组织废气</w:t>
                  </w:r>
                </w:p>
              </w:tc>
              <w:tc>
                <w:tcPr>
                  <w:tcW w:w="7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非甲烷总烃</w:t>
                  </w:r>
                </w:p>
              </w:tc>
              <w:tc>
                <w:tcPr>
                  <w:tcW w:w="91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bidi="ar"/>
                    </w:rPr>
                    <w:t>0.008*</w:t>
                  </w:r>
                </w:p>
              </w:tc>
              <w:tc>
                <w:tcPr>
                  <w:tcW w:w="8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w:t>
                  </w:r>
                </w:p>
              </w:tc>
              <w:tc>
                <w:tcPr>
                  <w:tcW w:w="91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0.18</w:t>
                  </w:r>
                </w:p>
              </w:tc>
              <w:tc>
                <w:tcPr>
                  <w:tcW w:w="8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kern w:val="0"/>
                      <w:sz w:val="21"/>
                      <w:szCs w:val="21"/>
                      <w:highlight w:val="none"/>
                      <w:lang w:val="en-US" w:eastAsia="zh-CN"/>
                    </w:rPr>
                    <w:t>0.008</w:t>
                  </w:r>
                </w:p>
              </w:tc>
              <w:tc>
                <w:tcPr>
                  <w:tcW w:w="82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0.18</w:t>
                  </w:r>
                </w:p>
              </w:tc>
              <w:tc>
                <w:tcPr>
                  <w:tcW w:w="88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+0.18</w:t>
                  </w:r>
                </w:p>
              </w:tc>
              <w:tc>
                <w:tcPr>
                  <w:tcW w:w="758"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+0.18</w:t>
                  </w:r>
                </w:p>
              </w:tc>
              <w:tc>
                <w:tcPr>
                  <w:tcW w:w="7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7" w:hRule="atLeast"/>
              </w:trPr>
              <w:tc>
                <w:tcPr>
                  <w:tcW w:w="824" w:type="dxa"/>
                  <w:gridSpan w:val="2"/>
                  <w:vMerge w:val="restart"/>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固废</w:t>
                  </w:r>
                </w:p>
              </w:tc>
              <w:tc>
                <w:tcPr>
                  <w:tcW w:w="7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生活垃圾</w:t>
                  </w:r>
                </w:p>
              </w:tc>
              <w:tc>
                <w:tcPr>
                  <w:tcW w:w="91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840"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912"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854"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825"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884"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758"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770"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7" w:hRule="atLeast"/>
              </w:trPr>
              <w:tc>
                <w:tcPr>
                  <w:tcW w:w="824" w:type="dxa"/>
                  <w:gridSpan w:val="2"/>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一般固废</w:t>
                  </w:r>
                </w:p>
              </w:tc>
              <w:tc>
                <w:tcPr>
                  <w:tcW w:w="91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840"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912"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854"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825"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884"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758"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770"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7" w:hRule="atLeast"/>
              </w:trPr>
              <w:tc>
                <w:tcPr>
                  <w:tcW w:w="824" w:type="dxa"/>
                  <w:gridSpan w:val="2"/>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75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危险固废</w:t>
                  </w:r>
                </w:p>
              </w:tc>
              <w:tc>
                <w:tcPr>
                  <w:tcW w:w="914"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840"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912"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854"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825"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884"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758"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w:t>
                  </w:r>
                </w:p>
              </w:tc>
              <w:tc>
                <w:tcPr>
                  <w:tcW w:w="770"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firstLine="422" w:firstLineChars="200"/>
              <w:jc w:val="both"/>
              <w:textAlignment w:val="auto"/>
              <w:rPr>
                <w:rFonts w:hint="eastAsia" w:ascii="Times New Roman" w:hAnsi="Times New Roman" w:eastAsia="仿宋" w:cs="Times New Roman"/>
                <w:b/>
                <w:bCs/>
                <w:kern w:val="0"/>
                <w:sz w:val="21"/>
                <w:szCs w:val="21"/>
                <w:lang w:val="en-US" w:eastAsia="zh-CN"/>
              </w:rPr>
            </w:pPr>
            <w:r>
              <w:rPr>
                <w:rFonts w:hint="eastAsia" w:ascii="Times New Roman" w:hAnsi="Times New Roman" w:eastAsia="仿宋" w:cs="Times New Roman"/>
                <w:b/>
                <w:bCs/>
                <w:kern w:val="0"/>
                <w:sz w:val="21"/>
                <w:szCs w:val="21"/>
                <w:lang w:val="en-US" w:eastAsia="zh-CN"/>
              </w:rPr>
              <w:t>注：</w:t>
            </w:r>
            <w:r>
              <w:rPr>
                <w:rFonts w:hint="eastAsia" w:eastAsia="仿宋" w:cs="Times New Roman"/>
                <w:b/>
                <w:bCs/>
                <w:kern w:val="0"/>
                <w:sz w:val="21"/>
                <w:szCs w:val="21"/>
                <w:lang w:val="en-US" w:eastAsia="zh-CN"/>
              </w:rPr>
              <w:t>由于原有项目环评编制时间较早，内容中未涉及到相关废气、废水总量排放情况；原有项目废废气无组织实际排放量来自企业2016年自查评估报告</w:t>
            </w:r>
            <w:r>
              <w:rPr>
                <w:rFonts w:hint="eastAsia" w:ascii="Times New Roman" w:hAnsi="Times New Roman" w:eastAsia="仿宋" w:cs="Times New Roman"/>
                <w:b/>
                <w:bCs/>
                <w:kern w:val="0"/>
                <w:sz w:val="21"/>
                <w:szCs w:val="21"/>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废水：本项目生活污水排入郑陆污水处理有限公司处理达标后排放至舜河，总量在常州郑陆污水处理有限公司内平衡。</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废气：根据《常州市建设项目主要污染物排放总量指标审核及管理实细则》（常政办发[2015]104号）：“建设项目主要污染物排放总量指标按工程</w:t>
            </w:r>
            <w:r>
              <w:rPr>
                <w:rFonts w:hint="eastAsia" w:eastAsia="仿宋" w:cs="Times New Roman"/>
                <w:kern w:val="0"/>
                <w:sz w:val="24"/>
                <w:szCs w:val="24"/>
                <w:lang w:val="en-US" w:eastAsia="zh-CN"/>
              </w:rPr>
              <w:t>减</w:t>
            </w:r>
            <w:r>
              <w:rPr>
                <w:rFonts w:hint="eastAsia" w:ascii="Times New Roman" w:hAnsi="Times New Roman" w:eastAsia="仿宋" w:cs="Times New Roman"/>
                <w:kern w:val="0"/>
                <w:sz w:val="24"/>
                <w:szCs w:val="24"/>
                <w:lang w:val="en-US" w:eastAsia="zh-CN"/>
              </w:rPr>
              <w:t>排类项目2倍削减量替代或关闭类项目1.5倍削减量替代。”企业</w:t>
            </w:r>
            <w:r>
              <w:rPr>
                <w:rFonts w:hint="eastAsia" w:eastAsia="仿宋" w:cs="Times New Roman"/>
                <w:kern w:val="0"/>
                <w:sz w:val="24"/>
                <w:szCs w:val="24"/>
                <w:lang w:val="en-US" w:eastAsia="zh-CN"/>
              </w:rPr>
              <w:t>本项目新增</w:t>
            </w:r>
            <w:r>
              <w:rPr>
                <w:rFonts w:hint="eastAsia" w:ascii="Times New Roman" w:hAnsi="Times New Roman" w:eastAsia="仿宋" w:cs="Times New Roman"/>
                <w:kern w:val="0"/>
                <w:sz w:val="24"/>
                <w:szCs w:val="24"/>
                <w:lang w:val="en-US" w:eastAsia="zh-CN"/>
              </w:rPr>
              <w:t>排放的废气有组织排放量为</w:t>
            </w:r>
            <w:r>
              <w:rPr>
                <w:rFonts w:hint="eastAsia" w:eastAsia="仿宋" w:cs="Times New Roman"/>
                <w:kern w:val="0"/>
                <w:sz w:val="24"/>
                <w:szCs w:val="24"/>
                <w:lang w:val="en-US" w:eastAsia="zh-CN"/>
              </w:rPr>
              <w:t>VOCs0.162</w:t>
            </w:r>
            <w:r>
              <w:rPr>
                <w:rFonts w:hint="eastAsia" w:ascii="Times New Roman" w:hAnsi="Times New Roman" w:eastAsia="仿宋" w:cs="Times New Roman"/>
                <w:kern w:val="0"/>
                <w:sz w:val="24"/>
                <w:szCs w:val="24"/>
                <w:lang w:val="en-US" w:eastAsia="zh-CN"/>
              </w:rPr>
              <w:t>t/a；无组织排放量</w:t>
            </w:r>
            <w:r>
              <w:rPr>
                <w:rFonts w:hint="eastAsia" w:eastAsia="仿宋" w:cs="Times New Roman"/>
                <w:kern w:val="0"/>
                <w:sz w:val="24"/>
                <w:szCs w:val="24"/>
                <w:lang w:val="en-US" w:eastAsia="zh-CN"/>
              </w:rPr>
              <w:t>VOCs0.18</w:t>
            </w:r>
            <w:r>
              <w:rPr>
                <w:rFonts w:hint="eastAsia" w:ascii="Times New Roman" w:hAnsi="Times New Roman" w:eastAsia="仿宋" w:cs="Times New Roman"/>
                <w:kern w:val="0"/>
                <w:sz w:val="24"/>
                <w:szCs w:val="24"/>
                <w:lang w:val="en-US" w:eastAsia="zh-CN"/>
              </w:rPr>
              <w:t>t/a，合计</w:t>
            </w:r>
            <w:r>
              <w:rPr>
                <w:rFonts w:hint="eastAsia" w:eastAsia="仿宋" w:cs="Times New Roman"/>
                <w:kern w:val="0"/>
                <w:sz w:val="24"/>
                <w:szCs w:val="24"/>
                <w:lang w:val="en-US" w:eastAsia="zh-CN"/>
              </w:rPr>
              <w:t>新增</w:t>
            </w:r>
            <w:r>
              <w:rPr>
                <w:rFonts w:hint="eastAsia" w:ascii="Times New Roman" w:hAnsi="Times New Roman" w:eastAsia="仿宋" w:cs="Times New Roman"/>
                <w:kern w:val="0"/>
                <w:sz w:val="24"/>
                <w:szCs w:val="24"/>
                <w:lang w:val="en-US" w:eastAsia="zh-CN"/>
              </w:rPr>
              <w:t>排放量为</w:t>
            </w:r>
            <w:r>
              <w:rPr>
                <w:rFonts w:hint="eastAsia" w:eastAsia="仿宋" w:cs="Times New Roman"/>
                <w:kern w:val="0"/>
                <w:sz w:val="24"/>
                <w:szCs w:val="24"/>
                <w:lang w:val="en-US" w:eastAsia="zh-CN"/>
              </w:rPr>
              <w:t>VOCs0.342</w:t>
            </w:r>
            <w:r>
              <w:rPr>
                <w:rFonts w:hint="eastAsia" w:ascii="Times New Roman" w:hAnsi="Times New Roman" w:eastAsia="仿宋" w:cs="Times New Roman"/>
                <w:kern w:val="0"/>
                <w:sz w:val="24"/>
                <w:szCs w:val="24"/>
                <w:lang w:val="en-US" w:eastAsia="zh-CN"/>
              </w:rPr>
              <w:t>t/a需履行排放量替代方案，企业应按要求到当地环保部门办理相关环保手续，申请核定总量。</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ascii="宋体" w:hAnsi="宋体" w:cs="宋体"/>
                <w:kern w:val="0"/>
                <w:szCs w:val="21"/>
              </w:rPr>
            </w:pPr>
            <w:r>
              <w:rPr>
                <w:rFonts w:hint="eastAsia" w:ascii="Times New Roman" w:hAnsi="Times New Roman" w:eastAsia="仿宋" w:cs="Times New Roman"/>
                <w:kern w:val="0"/>
                <w:sz w:val="24"/>
                <w:szCs w:val="24"/>
                <w:lang w:val="en-US" w:eastAsia="zh-CN"/>
              </w:rPr>
              <w:t>固废：本项目工业固体废弃物零排放，无需申请总量。</w:t>
            </w:r>
          </w:p>
        </w:tc>
      </w:tr>
    </w:tbl>
    <w:p>
      <w:pPr>
        <w:pStyle w:val="13"/>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85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5" w:hRule="atLeast"/>
          <w:jc w:val="center"/>
        </w:trPr>
        <w:tc>
          <w:tcPr>
            <w:tcW w:w="746" w:type="dxa"/>
            <w:noWrap w:val="0"/>
            <w:tcMar>
              <w:left w:w="28" w:type="dxa"/>
              <w:right w:w="28" w:type="dxa"/>
            </w:tcMar>
            <w:vAlign w:val="center"/>
          </w:tcPr>
          <w:p>
            <w:pPr>
              <w:pStyle w:val="13"/>
              <w:adjustRightInd w:val="0"/>
              <w:snapToGrid w:val="0"/>
              <w:spacing w:before="0" w:beforeAutospacing="0" w:after="0" w:afterAutospacing="0"/>
              <w:jc w:val="center"/>
              <w:rPr>
                <w:rFonts w:hint="eastAsia" w:ascii="仿宋" w:hAnsi="仿宋" w:eastAsia="仿宋" w:cs="仿宋"/>
                <w:kern w:val="2"/>
                <w:sz w:val="21"/>
                <w:szCs w:val="21"/>
              </w:rPr>
            </w:pPr>
            <w:r>
              <w:rPr>
                <w:rFonts w:hint="eastAsia" w:ascii="仿宋" w:hAnsi="仿宋" w:eastAsia="仿宋" w:cs="仿宋"/>
                <w:kern w:val="2"/>
                <w:sz w:val="21"/>
                <w:szCs w:val="21"/>
              </w:rPr>
              <w:t>施工</w:t>
            </w:r>
          </w:p>
          <w:p>
            <w:pPr>
              <w:pStyle w:val="13"/>
              <w:adjustRightInd w:val="0"/>
              <w:snapToGrid w:val="0"/>
              <w:spacing w:before="0" w:beforeAutospacing="0" w:after="0" w:afterAutospacing="0"/>
              <w:jc w:val="center"/>
              <w:rPr>
                <w:rFonts w:hint="eastAsia" w:ascii="仿宋" w:hAnsi="仿宋" w:eastAsia="仿宋" w:cs="仿宋"/>
                <w:kern w:val="2"/>
                <w:sz w:val="21"/>
                <w:szCs w:val="21"/>
              </w:rPr>
            </w:pPr>
            <w:r>
              <w:rPr>
                <w:rFonts w:hint="eastAsia" w:ascii="仿宋" w:hAnsi="仿宋" w:eastAsia="仿宋" w:cs="仿宋"/>
                <w:kern w:val="2"/>
                <w:sz w:val="21"/>
                <w:szCs w:val="21"/>
              </w:rPr>
              <w:t>期环</w:t>
            </w:r>
          </w:p>
          <w:p>
            <w:pPr>
              <w:pStyle w:val="13"/>
              <w:adjustRightInd w:val="0"/>
              <w:snapToGrid w:val="0"/>
              <w:spacing w:before="0" w:beforeAutospacing="0" w:after="0" w:afterAutospacing="0"/>
              <w:jc w:val="center"/>
              <w:rPr>
                <w:rFonts w:hint="eastAsia" w:ascii="仿宋" w:hAnsi="仿宋" w:eastAsia="仿宋" w:cs="仿宋"/>
                <w:kern w:val="2"/>
                <w:sz w:val="21"/>
                <w:szCs w:val="21"/>
              </w:rPr>
            </w:pPr>
            <w:r>
              <w:rPr>
                <w:rFonts w:hint="eastAsia" w:ascii="仿宋" w:hAnsi="仿宋" w:eastAsia="仿宋" w:cs="仿宋"/>
                <w:kern w:val="2"/>
                <w:sz w:val="21"/>
                <w:szCs w:val="21"/>
              </w:rPr>
              <w:t>境保</w:t>
            </w:r>
          </w:p>
          <w:p>
            <w:pPr>
              <w:pStyle w:val="13"/>
              <w:adjustRightInd w:val="0"/>
              <w:snapToGrid w:val="0"/>
              <w:spacing w:before="0" w:beforeAutospacing="0" w:after="0" w:afterAutospacing="0"/>
              <w:jc w:val="center"/>
              <w:rPr>
                <w:rFonts w:hint="eastAsia" w:ascii="仿宋" w:hAnsi="仿宋" w:eastAsia="仿宋" w:cs="仿宋"/>
                <w:kern w:val="2"/>
                <w:sz w:val="21"/>
                <w:szCs w:val="21"/>
              </w:rPr>
            </w:pPr>
            <w:r>
              <w:rPr>
                <w:rFonts w:hint="eastAsia" w:ascii="仿宋" w:hAnsi="仿宋" w:eastAsia="仿宋" w:cs="仿宋"/>
                <w:kern w:val="2"/>
                <w:sz w:val="21"/>
                <w:szCs w:val="21"/>
              </w:rPr>
              <w:t>护措</w:t>
            </w:r>
          </w:p>
          <w:p>
            <w:pPr>
              <w:pStyle w:val="13"/>
              <w:adjustRightInd w:val="0"/>
              <w:snapToGrid w:val="0"/>
              <w:spacing w:before="0" w:beforeAutospacing="0" w:after="0" w:afterAutospacing="0"/>
              <w:jc w:val="center"/>
              <w:rPr>
                <w:rFonts w:hint="eastAsia" w:cs="宋体"/>
                <w:bCs/>
                <w:kern w:val="2"/>
                <w:sz w:val="21"/>
                <w:szCs w:val="21"/>
              </w:rPr>
            </w:pPr>
            <w:r>
              <w:rPr>
                <w:rFonts w:hint="eastAsia" w:ascii="仿宋" w:hAnsi="仿宋" w:eastAsia="仿宋" w:cs="仿宋"/>
                <w:kern w:val="2"/>
                <w:sz w:val="21"/>
                <w:szCs w:val="21"/>
              </w:rPr>
              <w:t>施</w:t>
            </w:r>
          </w:p>
        </w:tc>
        <w:tc>
          <w:tcPr>
            <w:tcW w:w="8162" w:type="dxa"/>
            <w:noWrap w:val="0"/>
            <w:vAlign w:val="top"/>
          </w:tcPr>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建设项目利用租赁厂房进行建设，施工期较短，工程量小，对周围环境的影响较小，此处不做具体分析。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47" w:hRule="atLeast"/>
          <w:jc w:val="center"/>
        </w:trPr>
        <w:tc>
          <w:tcPr>
            <w:tcW w:w="746" w:type="dxa"/>
            <w:noWrap w:val="0"/>
            <w:tcMar>
              <w:left w:w="28" w:type="dxa"/>
              <w:right w:w="28" w:type="dxa"/>
            </w:tcMar>
            <w:vAlign w:val="center"/>
          </w:tcPr>
          <w:p>
            <w:pPr>
              <w:adjustRightInd w:val="0"/>
              <w:snapToGrid w:val="0"/>
              <w:jc w:val="center"/>
              <w:rPr>
                <w:rFonts w:hint="eastAsia" w:ascii="仿宋" w:hAnsi="仿宋" w:eastAsia="仿宋" w:cs="仿宋"/>
                <w:bCs/>
                <w:szCs w:val="21"/>
              </w:rPr>
            </w:pPr>
            <w:r>
              <w:rPr>
                <w:rFonts w:hint="eastAsia" w:ascii="仿宋" w:hAnsi="仿宋" w:eastAsia="仿宋" w:cs="仿宋"/>
                <w:bCs/>
                <w:szCs w:val="21"/>
              </w:rPr>
              <w:t>运营</w:t>
            </w:r>
          </w:p>
          <w:p>
            <w:pPr>
              <w:adjustRightInd w:val="0"/>
              <w:snapToGrid w:val="0"/>
              <w:jc w:val="center"/>
              <w:rPr>
                <w:rFonts w:hint="eastAsia" w:ascii="仿宋" w:hAnsi="仿宋" w:eastAsia="仿宋" w:cs="仿宋"/>
                <w:bCs/>
                <w:szCs w:val="21"/>
              </w:rPr>
            </w:pPr>
            <w:r>
              <w:rPr>
                <w:rFonts w:hint="eastAsia" w:ascii="仿宋" w:hAnsi="仿宋" w:eastAsia="仿宋" w:cs="仿宋"/>
                <w:bCs/>
                <w:szCs w:val="21"/>
              </w:rPr>
              <w:t>期环</w:t>
            </w:r>
          </w:p>
          <w:p>
            <w:pPr>
              <w:adjustRightInd w:val="0"/>
              <w:snapToGrid w:val="0"/>
              <w:jc w:val="center"/>
              <w:rPr>
                <w:rFonts w:hint="eastAsia" w:ascii="仿宋" w:hAnsi="仿宋" w:eastAsia="仿宋" w:cs="仿宋"/>
                <w:bCs/>
                <w:szCs w:val="21"/>
              </w:rPr>
            </w:pPr>
            <w:r>
              <w:rPr>
                <w:rFonts w:hint="eastAsia" w:ascii="仿宋" w:hAnsi="仿宋" w:eastAsia="仿宋" w:cs="仿宋"/>
                <w:bCs/>
                <w:szCs w:val="21"/>
              </w:rPr>
              <w:t>境影</w:t>
            </w:r>
          </w:p>
          <w:p>
            <w:pPr>
              <w:adjustRightInd w:val="0"/>
              <w:snapToGrid w:val="0"/>
              <w:jc w:val="center"/>
              <w:rPr>
                <w:rFonts w:hint="eastAsia" w:ascii="仿宋" w:hAnsi="仿宋" w:eastAsia="仿宋" w:cs="仿宋"/>
                <w:bCs/>
                <w:szCs w:val="21"/>
              </w:rPr>
            </w:pPr>
            <w:r>
              <w:rPr>
                <w:rFonts w:hint="eastAsia" w:ascii="仿宋" w:hAnsi="仿宋" w:eastAsia="仿宋" w:cs="仿宋"/>
                <w:bCs/>
                <w:szCs w:val="21"/>
              </w:rPr>
              <w:t>响和</w:t>
            </w:r>
          </w:p>
          <w:p>
            <w:pPr>
              <w:adjustRightInd w:val="0"/>
              <w:snapToGrid w:val="0"/>
              <w:jc w:val="center"/>
              <w:rPr>
                <w:rFonts w:hint="eastAsia" w:ascii="仿宋" w:hAnsi="仿宋" w:eastAsia="仿宋" w:cs="仿宋"/>
                <w:bCs/>
                <w:szCs w:val="21"/>
              </w:rPr>
            </w:pPr>
            <w:r>
              <w:rPr>
                <w:rFonts w:hint="eastAsia" w:ascii="仿宋" w:hAnsi="仿宋" w:eastAsia="仿宋" w:cs="仿宋"/>
                <w:bCs/>
                <w:szCs w:val="21"/>
              </w:rPr>
              <w:t>保护</w:t>
            </w:r>
          </w:p>
          <w:p>
            <w:pPr>
              <w:adjustRightInd w:val="0"/>
              <w:snapToGrid w:val="0"/>
              <w:jc w:val="center"/>
              <w:rPr>
                <w:rFonts w:ascii="宋体" w:hAnsi="宋体" w:cs="宋体"/>
                <w:bCs/>
                <w:szCs w:val="21"/>
              </w:rPr>
            </w:pPr>
            <w:r>
              <w:rPr>
                <w:rFonts w:hint="eastAsia" w:ascii="仿宋" w:hAnsi="仿宋" w:eastAsia="仿宋" w:cs="仿宋"/>
                <w:bCs/>
                <w:szCs w:val="21"/>
              </w:rPr>
              <w:t>措施</w:t>
            </w:r>
          </w:p>
        </w:tc>
        <w:tc>
          <w:tcPr>
            <w:tcW w:w="8162"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一、废气</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（一）污染物产生情况</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（1）有组织废气</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①淬火废气G</w:t>
            </w:r>
            <w:r>
              <w:rPr>
                <w:rFonts w:hint="eastAsia" w:eastAsia="仿宋" w:cs="Times New Roman"/>
                <w:kern w:val="0"/>
                <w:sz w:val="24"/>
                <w:szCs w:val="24"/>
                <w:lang w:val="en-US" w:eastAsia="zh-CN"/>
              </w:rPr>
              <w:t>1</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eastAsia="仿宋" w:cs="Times New Roman"/>
                <w:kern w:val="0"/>
                <w:sz w:val="24"/>
                <w:szCs w:val="24"/>
                <w:lang w:val="en-US" w:eastAsia="zh-CN"/>
              </w:rPr>
              <w:t>淬火时，网带炉使用甲醇进行加热，</w:t>
            </w:r>
            <w:r>
              <w:rPr>
                <w:rFonts w:hint="eastAsia" w:ascii="Times New Roman" w:hAnsi="Times New Roman" w:eastAsia="仿宋" w:cs="Times New Roman"/>
                <w:kern w:val="0"/>
                <w:sz w:val="24"/>
                <w:szCs w:val="24"/>
                <w:lang w:val="en-US" w:eastAsia="zh-CN"/>
              </w:rPr>
              <w:t>网带炉电加热淬火生产过程中进出料口有火帘（甲醇燃烧）与外界隔离，保证工件在加热时处于无氧状态空间。网带炉炉身为一个密封式（密封性较好）的炉膛结构，甲醇在炉内未完全反应的尾气经由尾气燃烧装置燃烧，生成二氧化氮、二氧化</w:t>
            </w:r>
            <w:r>
              <w:rPr>
                <w:rFonts w:hint="eastAsia" w:eastAsia="仿宋" w:cs="Times New Roman"/>
                <w:kern w:val="0"/>
                <w:sz w:val="24"/>
                <w:szCs w:val="24"/>
                <w:lang w:val="en-US" w:eastAsia="zh-CN"/>
              </w:rPr>
              <w:t>炭</w:t>
            </w:r>
            <w:r>
              <w:rPr>
                <w:rFonts w:hint="eastAsia" w:ascii="Times New Roman" w:hAnsi="Times New Roman" w:eastAsia="仿宋" w:cs="Times New Roman"/>
                <w:kern w:val="0"/>
                <w:sz w:val="24"/>
                <w:szCs w:val="24"/>
                <w:lang w:val="en-US" w:eastAsia="zh-CN"/>
              </w:rPr>
              <w:t>、水等无害物质，该过程尾气基本燃烧，仅有微量的未完全分解及燃烧的气体，故不进行定量分析。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淬火过程中</w:t>
            </w:r>
            <w:r>
              <w:rPr>
                <w:rFonts w:hint="eastAsia" w:eastAsia="仿宋" w:cs="Times New Roman"/>
                <w:kern w:val="0"/>
                <w:sz w:val="24"/>
                <w:szCs w:val="24"/>
                <w:lang w:val="en-US" w:eastAsia="zh-CN"/>
              </w:rPr>
              <w:t>需要</w:t>
            </w:r>
            <w:r>
              <w:rPr>
                <w:rFonts w:hint="eastAsia" w:ascii="Times New Roman" w:hAnsi="Times New Roman" w:eastAsia="仿宋" w:cs="Times New Roman"/>
                <w:kern w:val="0"/>
                <w:sz w:val="24"/>
                <w:szCs w:val="24"/>
                <w:lang w:val="en-US" w:eastAsia="zh-CN"/>
              </w:rPr>
              <w:t>使用淬火油、冷却水</w:t>
            </w:r>
            <w:r>
              <w:rPr>
                <w:rFonts w:hint="eastAsia" w:eastAsia="仿宋" w:cs="Times New Roman"/>
                <w:kern w:val="0"/>
                <w:sz w:val="24"/>
                <w:szCs w:val="24"/>
                <w:lang w:val="en-US" w:eastAsia="zh-CN"/>
              </w:rPr>
              <w:t>（冷却水、盐水只添加不更换）</w:t>
            </w:r>
            <w:r>
              <w:rPr>
                <w:rFonts w:hint="eastAsia" w:ascii="Times New Roman" w:hAnsi="Times New Roman" w:eastAsia="仿宋" w:cs="Times New Roman"/>
                <w:kern w:val="0"/>
                <w:sz w:val="24"/>
                <w:szCs w:val="24"/>
                <w:lang w:val="en-US" w:eastAsia="zh-CN"/>
              </w:rPr>
              <w:t>等进行冷却，当加热后的金属件、模具进入淬火油中冷却淬火时，会因为铸件高温使淬火油燃烧、挥发，其中挥发量约为淬火油使用量的50%，本项目年使用淬火油3t/a，则淬火工段产生非甲烷总烃1.5t/a。</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②回火废气G</w:t>
            </w:r>
            <w:r>
              <w:rPr>
                <w:rFonts w:hint="eastAsia" w:eastAsia="仿宋" w:cs="Times New Roman"/>
                <w:kern w:val="0"/>
                <w:sz w:val="24"/>
                <w:szCs w:val="24"/>
                <w:lang w:val="en-US" w:eastAsia="zh-CN"/>
              </w:rPr>
              <w:t>2</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回火时，工件需要重新进行加热到</w:t>
            </w:r>
            <w:r>
              <w:rPr>
                <w:rFonts w:hint="eastAsia" w:eastAsia="仿宋" w:cs="Times New Roman"/>
                <w:kern w:val="0"/>
                <w:sz w:val="24"/>
                <w:szCs w:val="24"/>
                <w:lang w:val="en-US" w:eastAsia="zh-CN"/>
              </w:rPr>
              <w:t>400</w:t>
            </w:r>
            <w:r>
              <w:rPr>
                <w:rFonts w:hint="eastAsia" w:ascii="Times New Roman" w:hAnsi="Times New Roman" w:eastAsia="仿宋" w:cs="Times New Roman"/>
                <w:kern w:val="0"/>
                <w:sz w:val="24"/>
                <w:szCs w:val="24"/>
                <w:lang w:val="en-US" w:eastAsia="zh-CN"/>
              </w:rPr>
              <w:t>℃，此时工件淬火时表面上沾有的少量淬火油会在回火时全部挥发出来，挥发量约为淬火油使用量的10%，本项目年使用淬火油3t/a，则回火工段产生的非甲烷总烃为0.3t/a。</w:t>
            </w:r>
          </w:p>
          <w:p>
            <w:pPr>
              <w:pStyle w:val="2"/>
              <w:spacing w:line="360" w:lineRule="auto"/>
              <w:ind w:firstLine="480" w:firstLineChars="200"/>
              <w:rPr>
                <w:rFonts w:hint="default"/>
                <w:b w:val="0"/>
                <w:bCs w:val="0"/>
                <w:lang w:val="en-US" w:eastAsia="zh-CN"/>
              </w:rPr>
            </w:pPr>
            <w:r>
              <w:rPr>
                <w:rFonts w:hint="eastAsia" w:ascii="Times New Roman" w:hAnsi="Times New Roman" w:eastAsia="仿宋" w:cs="Times New Roman"/>
                <w:b w:val="0"/>
                <w:bCs w:val="0"/>
                <w:kern w:val="0"/>
                <w:sz w:val="24"/>
                <w:szCs w:val="24"/>
                <w:lang w:val="en-US" w:eastAsia="zh-CN"/>
              </w:rPr>
              <w:t>注：本项目油雾挥发量来自于原有项目工程经验与物料平衡，本项目年使用热处理油3t，其中50%在淬火冷却时挥发，10%在回火加热时挥发，10%作为危废定期清理并委托有资质单位处置，由于淬火件进入油池时温度高达800℃，热处理油会因为温度过高而发生燃烧，生成CO</w:t>
            </w:r>
            <w:r>
              <w:rPr>
                <w:rFonts w:hint="eastAsia" w:ascii="Times New Roman" w:hAnsi="Times New Roman" w:eastAsia="仿宋" w:cs="Times New Roman"/>
                <w:b w:val="0"/>
                <w:bCs w:val="0"/>
                <w:kern w:val="0"/>
                <w:sz w:val="24"/>
                <w:szCs w:val="24"/>
                <w:vertAlign w:val="subscript"/>
                <w:lang w:val="en-US" w:eastAsia="zh-CN"/>
              </w:rPr>
              <w:t>2</w:t>
            </w:r>
            <w:r>
              <w:rPr>
                <w:rFonts w:hint="eastAsia" w:ascii="Times New Roman" w:hAnsi="Times New Roman" w:eastAsia="仿宋" w:cs="Times New Roman"/>
                <w:b w:val="0"/>
                <w:bCs w:val="0"/>
                <w:kern w:val="0"/>
                <w:sz w:val="24"/>
                <w:szCs w:val="24"/>
                <w:lang w:val="en-US" w:eastAsia="zh-CN"/>
              </w:rPr>
              <w:t>等无害气体，燃烧量约为年使用量的30%。</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表4-1 本项目有组织废气产生情况表</w:t>
            </w:r>
          </w:p>
          <w:tbl>
            <w:tblPr>
              <w:tblStyle w:val="17"/>
              <w:tblW w:w="83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1"/>
              <w:gridCol w:w="679"/>
              <w:gridCol w:w="1203"/>
              <w:gridCol w:w="1130"/>
              <w:gridCol w:w="1201"/>
              <w:gridCol w:w="1145"/>
              <w:gridCol w:w="2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4" w:type="pct"/>
                  <w:vMerge w:val="restar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kern w:val="0"/>
                      <w:sz w:val="21"/>
                      <w:szCs w:val="21"/>
                      <w:highlight w:val="none"/>
                      <w:lang w:bidi="ar"/>
                    </w:rPr>
                    <w:t>污染工序</w:t>
                  </w:r>
                </w:p>
              </w:tc>
              <w:tc>
                <w:tcPr>
                  <w:tcW w:w="408" w:type="pct"/>
                  <w:vMerge w:val="restar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kern w:val="0"/>
                      <w:sz w:val="21"/>
                      <w:szCs w:val="21"/>
                      <w:highlight w:val="none"/>
                      <w:lang w:bidi="ar"/>
                    </w:rPr>
                    <w:t>废气编号</w:t>
                  </w:r>
                </w:p>
              </w:tc>
              <w:tc>
                <w:tcPr>
                  <w:tcW w:w="723" w:type="pct"/>
                  <w:vMerge w:val="restar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kern w:val="0"/>
                      <w:sz w:val="21"/>
                      <w:szCs w:val="21"/>
                      <w:highlight w:val="none"/>
                      <w:lang w:bidi="ar"/>
                    </w:rPr>
                    <w:t>污染因子</w:t>
                  </w:r>
                </w:p>
              </w:tc>
              <w:tc>
                <w:tcPr>
                  <w:tcW w:w="1401" w:type="pct"/>
                  <w:gridSpan w:val="2"/>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kern w:val="0"/>
                      <w:sz w:val="21"/>
                      <w:szCs w:val="21"/>
                      <w:highlight w:val="none"/>
                      <w:lang w:bidi="ar"/>
                    </w:rPr>
                    <w:t>产生情况</w:t>
                  </w:r>
                </w:p>
              </w:tc>
              <w:tc>
                <w:tcPr>
                  <w:tcW w:w="688" w:type="pct"/>
                  <w:vMerge w:val="restar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kern w:val="0"/>
                      <w:sz w:val="21"/>
                      <w:szCs w:val="21"/>
                      <w:highlight w:val="none"/>
                      <w:lang w:bidi="ar"/>
                    </w:rPr>
                    <w:t>时间（h/a）</w:t>
                  </w:r>
                </w:p>
              </w:tc>
              <w:tc>
                <w:tcPr>
                  <w:tcW w:w="1343" w:type="pct"/>
                  <w:vMerge w:val="restar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kern w:val="0"/>
                      <w:sz w:val="21"/>
                      <w:szCs w:val="21"/>
                      <w:highlight w:val="none"/>
                      <w:lang w:bidi="ar"/>
                    </w:rPr>
                    <w:t>治理措施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4" w:type="pct"/>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408" w:type="pct"/>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723" w:type="pct"/>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679" w:type="pc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kern w:val="0"/>
                      <w:sz w:val="21"/>
                      <w:szCs w:val="21"/>
                      <w:highlight w:val="none"/>
                      <w:lang w:bidi="ar"/>
                    </w:rPr>
                    <w:t>产生速率（kg/h)</w:t>
                  </w:r>
                </w:p>
              </w:tc>
              <w:tc>
                <w:tcPr>
                  <w:tcW w:w="722" w:type="pc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kern w:val="0"/>
                      <w:sz w:val="21"/>
                      <w:szCs w:val="21"/>
                      <w:highlight w:val="none"/>
                      <w:lang w:bidi="ar"/>
                    </w:rPr>
                    <w:t>产生量(t/a)</w:t>
                  </w:r>
                </w:p>
              </w:tc>
              <w:tc>
                <w:tcPr>
                  <w:tcW w:w="688" w:type="pct"/>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1343" w:type="pct"/>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434" w:type="pct"/>
                  <w:tcBorders>
                    <w:tl2br w:val="nil"/>
                    <w:tr2bl w:val="nil"/>
                  </w:tcBorders>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淬火</w:t>
                  </w:r>
                </w:p>
              </w:tc>
              <w:tc>
                <w:tcPr>
                  <w:tcW w:w="408" w:type="pct"/>
                  <w:tcBorders>
                    <w:tl2br w:val="nil"/>
                    <w:tr2bl w:val="nil"/>
                  </w:tcBorders>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bidi="ar"/>
                    </w:rPr>
                    <w:t>G</w:t>
                  </w:r>
                  <w:r>
                    <w:rPr>
                      <w:rFonts w:hint="eastAsia" w:eastAsia="仿宋" w:cs="Times New Roman"/>
                      <w:color w:val="auto"/>
                      <w:kern w:val="0"/>
                      <w:sz w:val="21"/>
                      <w:szCs w:val="21"/>
                      <w:highlight w:val="none"/>
                      <w:lang w:val="en-US" w:eastAsia="zh-CN" w:bidi="ar"/>
                    </w:rPr>
                    <w:t>1</w:t>
                  </w:r>
                </w:p>
              </w:tc>
              <w:tc>
                <w:tcPr>
                  <w:tcW w:w="723" w:type="pct"/>
                  <w:tcBorders>
                    <w:tl2br w:val="nil"/>
                    <w:tr2bl w:val="nil"/>
                  </w:tcBorders>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sz w:val="21"/>
                      <w:szCs w:val="21"/>
                      <w:highlight w:val="none"/>
                      <w:lang w:val="en-US" w:eastAsia="zh-CN"/>
                    </w:rPr>
                    <w:t>非甲烷总烃</w:t>
                  </w:r>
                </w:p>
              </w:tc>
              <w:tc>
                <w:tcPr>
                  <w:tcW w:w="679" w:type="pct"/>
                  <w:tcBorders>
                    <w:tl2br w:val="nil"/>
                    <w:tr2bl w:val="nil"/>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0.5625</w:t>
                  </w:r>
                </w:p>
              </w:tc>
              <w:tc>
                <w:tcPr>
                  <w:tcW w:w="722" w:type="pct"/>
                  <w:tcBorders>
                    <w:tl2br w:val="nil"/>
                    <w:tr2bl w:val="nil"/>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1.35</w:t>
                  </w:r>
                </w:p>
              </w:tc>
              <w:tc>
                <w:tcPr>
                  <w:tcW w:w="688" w:type="pct"/>
                  <w:vMerge w:val="restart"/>
                  <w:tcBorders>
                    <w:tl2br w:val="nil"/>
                    <w:tr2bl w:val="nil"/>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2400</w:t>
                  </w:r>
                </w:p>
              </w:tc>
              <w:tc>
                <w:tcPr>
                  <w:tcW w:w="1343" w:type="pct"/>
                  <w:vMerge w:val="restar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集气罩收集后</w:t>
                  </w:r>
                  <w:r>
                    <w:rPr>
                      <w:rFonts w:hint="eastAsia" w:eastAsia="仿宋" w:cs="Times New Roman"/>
                      <w:color w:val="auto"/>
                      <w:kern w:val="0"/>
                      <w:sz w:val="21"/>
                      <w:szCs w:val="21"/>
                      <w:highlight w:val="none"/>
                      <w:lang w:val="en-US" w:eastAsia="zh-CN" w:bidi="ar"/>
                    </w:rPr>
                    <w:t>经UV光氧化</w:t>
                  </w:r>
                  <w:r>
                    <w:rPr>
                      <w:rFonts w:hint="default" w:ascii="Times New Roman" w:hAnsi="Times New Roman" w:eastAsia="仿宋" w:cs="Times New Roman"/>
                      <w:color w:val="auto"/>
                      <w:kern w:val="0"/>
                      <w:sz w:val="21"/>
                      <w:szCs w:val="21"/>
                      <w:highlight w:val="none"/>
                      <w:lang w:val="en-US" w:eastAsia="zh-CN" w:bidi="ar"/>
                    </w:rPr>
                    <w:t>+活性炭吸附处理后通过</w:t>
                  </w:r>
                  <w:r>
                    <w:rPr>
                      <w:rFonts w:hint="eastAsia" w:eastAsia="仿宋" w:cs="Times New Roman"/>
                      <w:color w:val="auto"/>
                      <w:kern w:val="0"/>
                      <w:sz w:val="21"/>
                      <w:szCs w:val="21"/>
                      <w:highlight w:val="none"/>
                      <w:lang w:val="en-US" w:eastAsia="zh-CN" w:bidi="ar"/>
                    </w:rPr>
                    <w:t>15</w:t>
                  </w:r>
                  <w:r>
                    <w:rPr>
                      <w:rFonts w:hint="default" w:ascii="Times New Roman" w:hAnsi="Times New Roman" w:eastAsia="仿宋" w:cs="Times New Roman"/>
                      <w:color w:val="auto"/>
                      <w:kern w:val="0"/>
                      <w:sz w:val="21"/>
                      <w:szCs w:val="21"/>
                      <w:highlight w:val="none"/>
                      <w:lang w:val="en-US" w:eastAsia="zh-CN" w:bidi="ar"/>
                    </w:rPr>
                    <w:t>m高的</w:t>
                  </w:r>
                  <w:r>
                    <w:rPr>
                      <w:rFonts w:hint="eastAsia" w:eastAsia="仿宋" w:cs="Times New Roman"/>
                      <w:color w:val="auto"/>
                      <w:kern w:val="0"/>
                      <w:sz w:val="21"/>
                      <w:szCs w:val="21"/>
                      <w:highlight w:val="none"/>
                      <w:lang w:val="en-US" w:eastAsia="zh-CN" w:bidi="ar"/>
                    </w:rPr>
                    <w:t>1#</w:t>
                  </w:r>
                  <w:r>
                    <w:rPr>
                      <w:rFonts w:hint="default" w:ascii="Times New Roman" w:hAnsi="Times New Roman" w:eastAsia="仿宋" w:cs="Times New Roman"/>
                      <w:color w:val="auto"/>
                      <w:kern w:val="0"/>
                      <w:sz w:val="21"/>
                      <w:szCs w:val="21"/>
                      <w:highlight w:val="none"/>
                      <w:lang w:val="en-US" w:eastAsia="zh-CN" w:bidi="ar"/>
                    </w:rPr>
                    <w:t>排气筒排放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4" w:type="pct"/>
                  <w:tcBorders>
                    <w:tl2br w:val="nil"/>
                    <w:tr2bl w:val="nil"/>
                  </w:tcBorders>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回火</w:t>
                  </w:r>
                </w:p>
              </w:tc>
              <w:tc>
                <w:tcPr>
                  <w:tcW w:w="408" w:type="pct"/>
                  <w:tcBorders>
                    <w:tl2br w:val="nil"/>
                    <w:tr2bl w:val="nil"/>
                  </w:tcBorders>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G</w:t>
                  </w:r>
                  <w:r>
                    <w:rPr>
                      <w:rFonts w:hint="eastAsia" w:eastAsia="仿宋" w:cs="Times New Roman"/>
                      <w:color w:val="auto"/>
                      <w:kern w:val="0"/>
                      <w:sz w:val="21"/>
                      <w:szCs w:val="21"/>
                      <w:highlight w:val="none"/>
                      <w:lang w:val="en-US" w:eastAsia="zh-CN" w:bidi="ar"/>
                    </w:rPr>
                    <w:t>2</w:t>
                  </w:r>
                </w:p>
              </w:tc>
              <w:tc>
                <w:tcPr>
                  <w:tcW w:w="723" w:type="pct"/>
                  <w:tcBorders>
                    <w:tl2br w:val="nil"/>
                    <w:tr2bl w:val="nil"/>
                  </w:tcBorders>
                  <w:shd w:val="clear" w:color="auto" w:fill="auto"/>
                  <w:tcMar>
                    <w:top w:w="12" w:type="dxa"/>
                    <w:left w:w="12" w:type="dxa"/>
                    <w:right w:w="12" w:type="dxa"/>
                  </w:tcMar>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sz w:val="21"/>
                      <w:szCs w:val="21"/>
                      <w:highlight w:val="none"/>
                      <w:lang w:val="en-US" w:eastAsia="zh-CN"/>
                    </w:rPr>
                    <w:t>非甲烷总烃</w:t>
                  </w:r>
                </w:p>
              </w:tc>
              <w:tc>
                <w:tcPr>
                  <w:tcW w:w="679" w:type="pct"/>
                  <w:tcBorders>
                    <w:tl2br w:val="nil"/>
                    <w:tr2bl w:val="nil"/>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0.1125</w:t>
                  </w:r>
                </w:p>
              </w:tc>
              <w:tc>
                <w:tcPr>
                  <w:tcW w:w="722" w:type="pct"/>
                  <w:tcBorders>
                    <w:tl2br w:val="nil"/>
                    <w:tr2bl w:val="nil"/>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0.27</w:t>
                  </w:r>
                </w:p>
              </w:tc>
              <w:tc>
                <w:tcPr>
                  <w:tcW w:w="688" w:type="pct"/>
                  <w:vMerge w:val="continue"/>
                  <w:tcBorders>
                    <w:tl2br w:val="nil"/>
                    <w:tr2bl w:val="nil"/>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p>
              </w:tc>
              <w:tc>
                <w:tcPr>
                  <w:tcW w:w="1343" w:type="pct"/>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（2）无组织废气</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eastAsia" w:eastAsia="仿宋" w:cs="Times New Roman"/>
                <w:kern w:val="0"/>
                <w:sz w:val="24"/>
                <w:szCs w:val="24"/>
                <w:lang w:val="en-US" w:eastAsia="zh-CN"/>
              </w:rPr>
              <w:t>①淬火、回火未捕集废气</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本项目</w:t>
            </w:r>
            <w:r>
              <w:rPr>
                <w:rFonts w:hint="eastAsia" w:eastAsia="仿宋" w:cs="Times New Roman"/>
                <w:kern w:val="0"/>
                <w:sz w:val="24"/>
                <w:szCs w:val="24"/>
                <w:lang w:val="en-US" w:eastAsia="zh-CN"/>
              </w:rPr>
              <w:t>淬火、回火</w:t>
            </w:r>
            <w:r>
              <w:rPr>
                <w:rFonts w:hint="eastAsia" w:ascii="Times New Roman" w:hAnsi="Times New Roman" w:eastAsia="仿宋" w:cs="Times New Roman"/>
                <w:kern w:val="0"/>
                <w:sz w:val="24"/>
                <w:szCs w:val="24"/>
                <w:lang w:val="en-US" w:eastAsia="zh-CN"/>
              </w:rPr>
              <w:t>的过程中，未捕集到的</w:t>
            </w:r>
            <w:r>
              <w:rPr>
                <w:rFonts w:hint="eastAsia" w:eastAsia="仿宋" w:cs="Times New Roman"/>
                <w:kern w:val="0"/>
                <w:sz w:val="24"/>
                <w:szCs w:val="24"/>
                <w:lang w:val="en-US" w:eastAsia="zh-CN"/>
              </w:rPr>
              <w:t>非甲烷总烃</w:t>
            </w:r>
            <w:r>
              <w:rPr>
                <w:rFonts w:hint="eastAsia" w:ascii="Times New Roman" w:hAnsi="Times New Roman" w:eastAsia="仿宋" w:cs="Times New Roman"/>
                <w:kern w:val="0"/>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表4-2 本项目无组织废气产生情况表</w:t>
            </w:r>
          </w:p>
          <w:tbl>
            <w:tblPr>
              <w:tblStyle w:val="1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99"/>
              <w:gridCol w:w="1825"/>
              <w:gridCol w:w="1249"/>
              <w:gridCol w:w="1073"/>
              <w:gridCol w:w="1189"/>
              <w:gridCol w:w="14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903"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污染源位置</w:t>
                  </w:r>
                </w:p>
              </w:tc>
              <w:tc>
                <w:tcPr>
                  <w:tcW w:w="1099"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产生工序</w:t>
                  </w:r>
                </w:p>
              </w:tc>
              <w:tc>
                <w:tcPr>
                  <w:tcW w:w="1398" w:type="pct"/>
                  <w:gridSpan w:val="2"/>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污染物产生量</w:t>
                  </w:r>
                  <w:r>
                    <w:rPr>
                      <w:rFonts w:hint="eastAsia" w:eastAsia="仿宋" w:cs="Times New Roman"/>
                      <w:kern w:val="0"/>
                      <w:szCs w:val="21"/>
                      <w:vertAlign w:val="baseline"/>
                      <w:lang w:val="en-US" w:eastAsia="zh-CN"/>
                    </w:rPr>
                    <w:t>t/a</w:t>
                  </w:r>
                </w:p>
              </w:tc>
              <w:tc>
                <w:tcPr>
                  <w:tcW w:w="716"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面源面积</w:t>
                  </w:r>
                </w:p>
              </w:tc>
              <w:tc>
                <w:tcPr>
                  <w:tcW w:w="882"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面源高度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90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1099"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1398" w:type="pct"/>
                  <w:gridSpan w:val="2"/>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716"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88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23" w:hRule="atLeast"/>
                <w:jc w:val="center"/>
              </w:trPr>
              <w:tc>
                <w:tcPr>
                  <w:tcW w:w="903"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生产车间</w:t>
                  </w:r>
                </w:p>
              </w:tc>
              <w:tc>
                <w:tcPr>
                  <w:tcW w:w="1099"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未捕集的淬火废气</w:t>
                  </w:r>
                </w:p>
              </w:tc>
              <w:tc>
                <w:tcPr>
                  <w:tcW w:w="752" w:type="pct"/>
                  <w:tcBorders>
                    <w:tl2br w:val="nil"/>
                    <w:tr2bl w:val="nil"/>
                  </w:tcBorders>
                  <w:vAlign w:val="center"/>
                </w:tcPr>
                <w:p>
                  <w:pPr>
                    <w:keepNext w:val="0"/>
                    <w:keepLines w:val="0"/>
                    <w:pageBreakBefore w:val="0"/>
                    <w:widowControl/>
                    <w:kinsoku/>
                    <w:wordWrap/>
                    <w:overflowPunct/>
                    <w:topLinePunct w:val="0"/>
                    <w:bidi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非甲烷总烃</w:t>
                  </w:r>
                </w:p>
              </w:tc>
              <w:tc>
                <w:tcPr>
                  <w:tcW w:w="64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cs="Times New Roman"/>
                      <w:i w:val="0"/>
                      <w:color w:val="auto"/>
                      <w:kern w:val="0"/>
                      <w:sz w:val="21"/>
                      <w:szCs w:val="21"/>
                      <w:u w:val="none"/>
                      <w:lang w:val="en-US" w:eastAsia="zh-CN" w:bidi="ar"/>
                    </w:rPr>
                    <w:t>0.15</w:t>
                  </w:r>
                </w:p>
              </w:tc>
              <w:tc>
                <w:tcPr>
                  <w:tcW w:w="716"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800</w:t>
                  </w:r>
                </w:p>
              </w:tc>
              <w:tc>
                <w:tcPr>
                  <w:tcW w:w="882"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0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1099"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未捕集的回火废气</w:t>
                  </w:r>
                </w:p>
              </w:tc>
              <w:tc>
                <w:tcPr>
                  <w:tcW w:w="752" w:type="pct"/>
                  <w:tcBorders>
                    <w:tl2br w:val="nil"/>
                    <w:tr2bl w:val="nil"/>
                  </w:tcBorders>
                  <w:vAlign w:val="center"/>
                </w:tcPr>
                <w:p>
                  <w:pPr>
                    <w:keepNext w:val="0"/>
                    <w:keepLines w:val="0"/>
                    <w:pageBreakBefore w:val="0"/>
                    <w:widowControl/>
                    <w:kinsoku/>
                    <w:wordWrap/>
                    <w:overflowPunct/>
                    <w:topLinePunct w:val="0"/>
                    <w:bidi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color w:val="auto"/>
                      <w:kern w:val="0"/>
                      <w:sz w:val="21"/>
                      <w:szCs w:val="21"/>
                      <w:highlight w:val="none"/>
                      <w:lang w:val="en-US" w:eastAsia="zh-CN" w:bidi="ar"/>
                    </w:rPr>
                    <w:t>非甲烷总烃</w:t>
                  </w:r>
                </w:p>
              </w:tc>
              <w:tc>
                <w:tcPr>
                  <w:tcW w:w="64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cs="Times New Roman"/>
                      <w:color w:val="auto"/>
                      <w:sz w:val="21"/>
                      <w:szCs w:val="21"/>
                      <w:highlight w:val="none"/>
                      <w:lang w:val="en-US" w:eastAsia="zh-CN"/>
                    </w:rPr>
                    <w:t>0.03</w:t>
                  </w:r>
                </w:p>
              </w:tc>
              <w:tc>
                <w:tcPr>
                  <w:tcW w:w="716"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88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（二）污染防治措施</w:t>
            </w:r>
          </w:p>
          <w:p>
            <w:pPr>
              <w:pStyle w:val="2"/>
              <w:jc w:val="center"/>
              <w:rPr>
                <w:rFonts w:hint="eastAsia"/>
                <w:lang w:val="en-US" w:eastAsia="zh-CN"/>
              </w:rPr>
            </w:pPr>
            <w:r>
              <w:rPr>
                <w:rFonts w:hint="default"/>
                <w:lang w:val="en-US" w:eastAsia="zh-CN"/>
              </w:rPr>
              <w:object>
                <v:shape id="_x0000_i1029" o:spt="75" type="#_x0000_t75" style="height:150pt;width:330pt;" o:ole="t" filled="f" o:preferrelative="t" stroked="f" coordsize="21600,21600">
                  <v:path/>
                  <v:fill on="f" focussize="0,0"/>
                  <v:stroke on="f"/>
                  <v:imagedata r:id="rId16" o:title=""/>
                  <o:lock v:ext="edit" aspectratio="f"/>
                  <w10:wrap type="none"/>
                  <w10:anchorlock/>
                </v:shape>
                <o:OLEObject Type="Embed" ProgID="Visio.Drawing.11" ShapeID="_x0000_i1029" DrawAspect="Content" ObjectID="_1468075729" r:id="rId15">
                  <o:LockedField>false</o:LockedField>
                </o:OLEObject>
              </w:objec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2" w:firstLineChars="200"/>
              <w:jc w:val="center"/>
              <w:textAlignment w:val="auto"/>
              <w:rPr>
                <w:rFonts w:hint="default" w:ascii="Times New Roman" w:hAnsi="Times New Roman" w:eastAsia="仿宋" w:cs="Times New Roman"/>
                <w:kern w:val="0"/>
                <w:sz w:val="24"/>
                <w:szCs w:val="24"/>
                <w:lang w:val="en-US" w:eastAsia="zh-CN"/>
              </w:rPr>
            </w:pPr>
            <w:r>
              <w:rPr>
                <w:rFonts w:hint="eastAsia" w:eastAsia="仿宋" w:cs="Times New Roman"/>
                <w:b/>
                <w:bCs/>
                <w:kern w:val="0"/>
                <w:sz w:val="24"/>
                <w:szCs w:val="24"/>
                <w:lang w:val="en-US" w:eastAsia="zh-CN"/>
              </w:rPr>
              <w:t>图4-1 污染防治措施图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（1）防治措施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①有组织废气</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eastAsia" w:eastAsia="仿宋" w:cs="Times New Roman"/>
                <w:kern w:val="0"/>
                <w:sz w:val="24"/>
                <w:szCs w:val="24"/>
                <w:lang w:val="en-US" w:eastAsia="zh-CN"/>
              </w:rPr>
              <w:t>淬火、回火挥发</w:t>
            </w:r>
            <w:r>
              <w:rPr>
                <w:rFonts w:hint="default" w:ascii="Times New Roman" w:hAnsi="Times New Roman" w:eastAsia="仿宋" w:cs="Times New Roman"/>
                <w:kern w:val="0"/>
                <w:sz w:val="24"/>
                <w:szCs w:val="24"/>
                <w:lang w:val="en-US" w:eastAsia="zh-CN"/>
              </w:rPr>
              <w:t>产生的</w:t>
            </w:r>
            <w:r>
              <w:rPr>
                <w:rFonts w:hint="eastAsia" w:eastAsia="仿宋" w:cs="Times New Roman"/>
                <w:kern w:val="0"/>
                <w:sz w:val="24"/>
                <w:szCs w:val="24"/>
                <w:lang w:val="en-US" w:eastAsia="zh-CN"/>
              </w:rPr>
              <w:t>有机</w:t>
            </w:r>
            <w:r>
              <w:rPr>
                <w:rFonts w:hint="default" w:ascii="Times New Roman" w:hAnsi="Times New Roman" w:eastAsia="仿宋" w:cs="Times New Roman"/>
                <w:kern w:val="0"/>
                <w:sz w:val="24"/>
                <w:szCs w:val="24"/>
                <w:lang w:val="en-US" w:eastAsia="zh-CN"/>
              </w:rPr>
              <w:t>废气经集气罩收集后</w:t>
            </w:r>
            <w:r>
              <w:rPr>
                <w:rFonts w:hint="eastAsia" w:eastAsia="仿宋" w:cs="Times New Roman"/>
                <w:kern w:val="0"/>
                <w:sz w:val="24"/>
                <w:szCs w:val="24"/>
                <w:lang w:val="en-US" w:eastAsia="zh-CN"/>
              </w:rPr>
              <w:t>经UV光氧化＋活性炭吸附</w:t>
            </w:r>
            <w:r>
              <w:rPr>
                <w:rFonts w:hint="default" w:ascii="Times New Roman" w:hAnsi="Times New Roman" w:eastAsia="仿宋" w:cs="Times New Roman"/>
                <w:kern w:val="0"/>
                <w:sz w:val="24"/>
                <w:szCs w:val="24"/>
                <w:lang w:val="en-US" w:eastAsia="zh-CN"/>
              </w:rPr>
              <w:t>处理后由</w:t>
            </w:r>
            <w:r>
              <w:rPr>
                <w:rFonts w:hint="eastAsia" w:eastAsia="仿宋" w:cs="Times New Roman"/>
                <w:kern w:val="0"/>
                <w:sz w:val="24"/>
                <w:szCs w:val="24"/>
                <w:lang w:val="en-US" w:eastAsia="zh-CN"/>
              </w:rPr>
              <w:t>15</w:t>
            </w:r>
            <w:r>
              <w:rPr>
                <w:rFonts w:hint="default" w:ascii="Times New Roman" w:hAnsi="Times New Roman" w:eastAsia="仿宋" w:cs="Times New Roman"/>
                <w:kern w:val="0"/>
                <w:sz w:val="24"/>
                <w:szCs w:val="24"/>
                <w:lang w:val="en-US" w:eastAsia="zh-CN"/>
              </w:rPr>
              <w:t>m高1</w:t>
            </w:r>
            <w:r>
              <w:rPr>
                <w:rFonts w:hint="eastAsia" w:eastAsia="仿宋" w:cs="Times New Roman"/>
                <w:kern w:val="0"/>
                <w:sz w:val="24"/>
                <w:szCs w:val="24"/>
                <w:lang w:val="en-US" w:eastAsia="zh-CN"/>
              </w:rPr>
              <w:t>#</w:t>
            </w:r>
            <w:r>
              <w:rPr>
                <w:rFonts w:hint="default" w:ascii="Times New Roman" w:hAnsi="Times New Roman" w:eastAsia="仿宋" w:cs="Times New Roman"/>
                <w:kern w:val="0"/>
                <w:sz w:val="24"/>
                <w:szCs w:val="24"/>
                <w:lang w:val="en-US" w:eastAsia="zh-CN"/>
              </w:rPr>
              <w:t>排气筒排放。</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②无组织废气</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本项目</w:t>
            </w:r>
            <w:r>
              <w:rPr>
                <w:rFonts w:hint="eastAsia" w:eastAsia="仿宋" w:cs="Times New Roman"/>
                <w:kern w:val="0"/>
                <w:sz w:val="24"/>
                <w:szCs w:val="24"/>
                <w:lang w:val="en-US" w:eastAsia="zh-CN"/>
              </w:rPr>
              <w:t>淬火、回火</w:t>
            </w:r>
            <w:r>
              <w:rPr>
                <w:rFonts w:hint="eastAsia" w:ascii="Times New Roman" w:hAnsi="Times New Roman" w:eastAsia="仿宋" w:cs="Times New Roman"/>
                <w:kern w:val="0"/>
                <w:sz w:val="24"/>
                <w:szCs w:val="24"/>
                <w:lang w:val="en-US" w:eastAsia="zh-CN"/>
              </w:rPr>
              <w:t>过程中，未捕集到的</w:t>
            </w:r>
            <w:r>
              <w:rPr>
                <w:rFonts w:hint="eastAsia" w:eastAsia="仿宋" w:cs="Times New Roman"/>
                <w:kern w:val="0"/>
                <w:sz w:val="24"/>
                <w:szCs w:val="24"/>
                <w:lang w:val="en-US" w:eastAsia="zh-CN"/>
              </w:rPr>
              <w:t>非甲烷总烃无组织排放，</w:t>
            </w:r>
            <w:r>
              <w:rPr>
                <w:rFonts w:hint="default" w:ascii="Times New Roman" w:hAnsi="Times New Roman" w:eastAsia="仿宋" w:cs="Times New Roman"/>
                <w:kern w:val="0"/>
                <w:sz w:val="24"/>
                <w:szCs w:val="24"/>
                <w:lang w:val="en-US" w:eastAsia="zh-CN"/>
              </w:rPr>
              <w:t>在生产车间内采用加强通风等措施</w:t>
            </w:r>
            <w:r>
              <w:rPr>
                <w:rFonts w:hint="eastAsia" w:ascii="Times New Roman" w:hAnsi="Times New Roman" w:eastAsia="仿宋" w:cs="Times New Roman"/>
                <w:kern w:val="0"/>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（2）技术可行性分析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eastAsia="仿宋" w:cs="Times New Roman"/>
                <w:kern w:val="0"/>
                <w:sz w:val="24"/>
                <w:szCs w:val="24"/>
                <w:lang w:val="en-US" w:eastAsia="zh-CN"/>
              </w:rPr>
              <w:t>UV光氧化</w:t>
            </w:r>
            <w:r>
              <w:rPr>
                <w:rFonts w:hint="eastAsia" w:ascii="Times New Roman" w:hAnsi="Times New Roman" w:eastAsia="仿宋" w:cs="Times New Roman"/>
                <w:kern w:val="0"/>
                <w:sz w:val="24"/>
                <w:szCs w:val="24"/>
                <w:lang w:val="en-US" w:eastAsia="zh-CN"/>
              </w:rPr>
              <w:t>可行性分析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eastAsia="仿宋" w:cs="Times New Roman"/>
                <w:kern w:val="0"/>
                <w:sz w:val="24"/>
                <w:szCs w:val="24"/>
                <w:lang w:val="en-US" w:eastAsia="zh-CN"/>
              </w:rPr>
              <w:t>UV光氧化</w:t>
            </w:r>
            <w:r>
              <w:rPr>
                <w:rFonts w:hint="eastAsia" w:ascii="Times New Roman" w:hAnsi="Times New Roman" w:eastAsia="仿宋" w:cs="Times New Roman"/>
                <w:kern w:val="0"/>
                <w:sz w:val="24"/>
                <w:szCs w:val="24"/>
                <w:lang w:val="en-US" w:eastAsia="zh-CN"/>
              </w:rPr>
              <w:t>装置利用UV紫外线光束分解空气中的氧分子产生游离氧，即活性氧，因游离氧不稳定需与氧分子结合，进而产生臭氧同时，混合气体中的水汽被紫外线光裂解产生大量氧化值最高的羟基自由基，臭氧和氧化值最高的羟基自由基对有机物具有极强的氧化作用，裂解VOCs气体的分子键。本项目保守估计</w:t>
            </w:r>
            <w:r>
              <w:rPr>
                <w:rFonts w:hint="eastAsia" w:eastAsia="仿宋" w:cs="Times New Roman"/>
                <w:kern w:val="0"/>
                <w:sz w:val="24"/>
                <w:szCs w:val="24"/>
                <w:lang w:val="en-US" w:eastAsia="zh-CN"/>
              </w:rPr>
              <w:t>UV光氧化</w:t>
            </w:r>
            <w:r>
              <w:rPr>
                <w:rFonts w:hint="eastAsia" w:ascii="Times New Roman" w:hAnsi="Times New Roman" w:eastAsia="仿宋" w:cs="Times New Roman"/>
                <w:kern w:val="0"/>
                <w:sz w:val="24"/>
                <w:szCs w:val="24"/>
                <w:lang w:val="en-US" w:eastAsia="zh-CN"/>
              </w:rPr>
              <w:t>装置效率为50%。</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活性炭</w:t>
            </w:r>
            <w:r>
              <w:rPr>
                <w:rFonts w:hint="eastAsia" w:eastAsia="仿宋" w:cs="Times New Roman"/>
                <w:kern w:val="0"/>
                <w:sz w:val="24"/>
                <w:szCs w:val="24"/>
                <w:lang w:val="en-US" w:eastAsia="zh-CN"/>
              </w:rPr>
              <w:t>吸附</w:t>
            </w:r>
            <w:r>
              <w:rPr>
                <w:rFonts w:hint="eastAsia" w:ascii="Times New Roman" w:hAnsi="Times New Roman" w:eastAsia="仿宋" w:cs="Times New Roman"/>
                <w:kern w:val="0"/>
                <w:sz w:val="24"/>
                <w:szCs w:val="24"/>
                <w:lang w:val="en-US" w:eastAsia="zh-CN"/>
              </w:rPr>
              <w:t>可行性：</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color w:val="auto"/>
                <w:kern w:val="0"/>
                <w:sz w:val="24"/>
                <w:szCs w:val="24"/>
                <w:lang w:val="en-US" w:eastAsia="zh-CN" w:bidi="ar-SA"/>
              </w:rPr>
              <w:t>进入</w:t>
            </w:r>
            <w:r>
              <w:rPr>
                <w:rFonts w:hint="default" w:ascii="Times New Roman" w:hAnsi="Times New Roman" w:eastAsia="仿宋" w:cs="Times New Roman"/>
                <w:kern w:val="0"/>
                <w:sz w:val="24"/>
                <w:szCs w:val="24"/>
                <w:lang w:val="en-US" w:eastAsia="zh-CN"/>
              </w:rPr>
              <w:t>活性炭吸附装置的有机废气在流经活性炭层时被比表面积很大的活性炭截留，在其颗粒表面形成一层平衡的表面浓度，并将有机物等吸附到活性炭的细孔，使用初期的吸附效果很高。活性炭颗粒的大小对吸附能力有影响，一般来说，活性炭颗粒越小，过滤面积就越大，但过小的颗粒将会使有机气体流过碳层的气流阻力过大，造成气流不通畅，吸附法气体净化设备的设计主要参数是空塔风速，一般使用0.5~2m/s。</w:t>
            </w:r>
            <w:r>
              <w:rPr>
                <w:rFonts w:hint="eastAsia" w:ascii="Times New Roman" w:hAnsi="Times New Roman" w:eastAsia="仿宋" w:cs="Times New Roman"/>
                <w:kern w:val="0"/>
                <w:sz w:val="24"/>
                <w:szCs w:val="24"/>
                <w:lang w:val="en-US" w:eastAsia="zh-CN"/>
              </w:rPr>
              <w:t>本项目活性炭吸附箱装填量为1t，更换周期为每3个月更换一次，其对于有机废气的吸附效率取80%。</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eastAsia="仿宋" w:cs="Times New Roman"/>
                <w:kern w:val="0"/>
                <w:sz w:val="24"/>
                <w:szCs w:val="24"/>
                <w:lang w:val="en-US" w:eastAsia="zh-CN"/>
              </w:rPr>
              <w:t>故本项目有机废气总体处理效率可达到90%，</w:t>
            </w:r>
            <w:r>
              <w:rPr>
                <w:rFonts w:hint="eastAsia" w:ascii="Times New Roman" w:hAnsi="Times New Roman" w:eastAsia="仿宋" w:cs="Times New Roman"/>
                <w:kern w:val="0"/>
                <w:sz w:val="24"/>
                <w:szCs w:val="24"/>
                <w:lang w:val="en-US" w:eastAsia="zh-CN"/>
              </w:rPr>
              <w:t>因此，该废气防治措施可行。</w:t>
            </w:r>
          </w:p>
          <w:p>
            <w:pPr>
              <w:adjustRightInd w:val="0"/>
              <w:snapToGrid w:val="0"/>
              <w:spacing w:line="440" w:lineRule="exact"/>
              <w:ind w:firstLine="0" w:firstLineChars="0"/>
              <w:rPr>
                <w:rFonts w:hint="default" w:eastAsia="仿宋"/>
                <w:b w:val="0"/>
                <w:kern w:val="2"/>
                <w:sz w:val="24"/>
                <w:szCs w:val="22"/>
              </w:rPr>
            </w:pPr>
            <w:r>
              <w:rPr>
                <w:rFonts w:hint="default" w:eastAsia="仿宋"/>
                <w:b w:val="0"/>
                <w:kern w:val="2"/>
                <w:sz w:val="24"/>
                <w:szCs w:val="22"/>
                <w:lang w:eastAsia="zh-CN"/>
              </w:rPr>
              <w:t>（</w:t>
            </w:r>
            <w:r>
              <w:rPr>
                <w:rFonts w:hint="default" w:eastAsia="仿宋"/>
                <w:b w:val="0"/>
                <w:kern w:val="2"/>
                <w:sz w:val="24"/>
                <w:szCs w:val="22"/>
                <w:lang w:val="en-US" w:eastAsia="zh-CN"/>
              </w:rPr>
              <w:t>3</w:t>
            </w:r>
            <w:r>
              <w:rPr>
                <w:rFonts w:hint="default" w:eastAsia="仿宋"/>
                <w:b w:val="0"/>
                <w:kern w:val="2"/>
                <w:sz w:val="24"/>
                <w:szCs w:val="22"/>
                <w:lang w:eastAsia="zh-CN"/>
              </w:rPr>
              <w:t>）</w:t>
            </w:r>
            <w:r>
              <w:rPr>
                <w:rFonts w:hint="default" w:eastAsia="仿宋"/>
                <w:b w:val="0"/>
                <w:kern w:val="2"/>
                <w:sz w:val="24"/>
                <w:szCs w:val="22"/>
              </w:rPr>
              <w:t>排气筒设置合理性分析</w:t>
            </w:r>
          </w:p>
          <w:p>
            <w:pPr>
              <w:adjustRightInd w:val="0"/>
              <w:snapToGrid w:val="0"/>
              <w:spacing w:line="440" w:lineRule="exact"/>
              <w:ind w:firstLine="480" w:firstLineChars="200"/>
              <w:rPr>
                <w:rFonts w:hint="eastAsia" w:eastAsia="仿宋"/>
                <w:b w:val="0"/>
                <w:kern w:val="2"/>
                <w:sz w:val="24"/>
                <w:szCs w:val="22"/>
                <w:lang w:eastAsia="zh-CN"/>
              </w:rPr>
            </w:pPr>
            <w:r>
              <w:rPr>
                <w:rFonts w:hint="default" w:eastAsia="仿宋"/>
                <w:b w:val="0"/>
                <w:kern w:val="2"/>
                <w:sz w:val="24"/>
                <w:szCs w:val="22"/>
              </w:rPr>
              <w:t>本项目共设置</w:t>
            </w:r>
            <w:r>
              <w:rPr>
                <w:rFonts w:hint="eastAsia" w:eastAsia="仿宋"/>
                <w:b w:val="0"/>
                <w:kern w:val="2"/>
                <w:sz w:val="24"/>
                <w:szCs w:val="22"/>
                <w:lang w:val="en-US" w:eastAsia="zh-CN"/>
              </w:rPr>
              <w:t>1</w:t>
            </w:r>
            <w:r>
              <w:rPr>
                <w:rFonts w:hint="default" w:eastAsia="仿宋"/>
                <w:b w:val="0"/>
                <w:kern w:val="2"/>
                <w:sz w:val="24"/>
                <w:szCs w:val="22"/>
              </w:rPr>
              <w:t>根排气筒，排气筒高度</w:t>
            </w:r>
            <w:r>
              <w:rPr>
                <w:rFonts w:hint="eastAsia" w:eastAsia="仿宋"/>
                <w:b w:val="0"/>
                <w:kern w:val="2"/>
                <w:sz w:val="24"/>
                <w:szCs w:val="22"/>
                <w:lang w:val="en-US" w:eastAsia="zh-CN"/>
              </w:rPr>
              <w:t>设置15米，</w:t>
            </w:r>
            <w:r>
              <w:rPr>
                <w:rFonts w:hint="default" w:eastAsia="仿宋"/>
                <w:b w:val="0"/>
                <w:kern w:val="2"/>
                <w:sz w:val="24"/>
                <w:szCs w:val="22"/>
              </w:rPr>
              <w:t>满足《大气污染物综合排放标准》（</w:t>
            </w:r>
            <w:r>
              <w:rPr>
                <w:rFonts w:hint="eastAsia" w:eastAsia="仿宋"/>
                <w:b w:val="0"/>
                <w:kern w:val="2"/>
                <w:sz w:val="24"/>
                <w:szCs w:val="22"/>
                <w:lang w:eastAsia="zh-CN"/>
              </w:rPr>
              <w:t>DB32/4041-2021</w:t>
            </w:r>
            <w:r>
              <w:rPr>
                <w:rFonts w:hint="default" w:eastAsia="仿宋"/>
                <w:b w:val="0"/>
                <w:kern w:val="2"/>
                <w:sz w:val="24"/>
                <w:szCs w:val="22"/>
              </w:rPr>
              <w:t>）要求</w:t>
            </w:r>
            <w:r>
              <w:rPr>
                <w:rFonts w:hint="eastAsia" w:eastAsia="仿宋"/>
                <w:b w:val="0"/>
                <w:kern w:val="2"/>
                <w:sz w:val="24"/>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default" w:eastAsia="仿宋"/>
                <w:b w:val="0"/>
                <w:kern w:val="2"/>
                <w:sz w:val="24"/>
                <w:szCs w:val="22"/>
              </w:rPr>
              <w:t>经分析，本项目污染物可达标排放，因此该项目排气筒设置是合理的。</w:t>
            </w:r>
          </w:p>
          <w:p>
            <w:pPr>
              <w:widowControl w:val="0"/>
              <w:numPr>
                <w:ilvl w:val="0"/>
                <w:numId w:val="0"/>
              </w:numPr>
              <w:adjustRightInd w:val="0"/>
              <w:snapToGrid w:val="0"/>
              <w:jc w:val="both"/>
              <w:rPr>
                <w:rFonts w:hint="default" w:ascii="宋体" w:hAnsi="宋体" w:cs="宋体"/>
                <w:bCs/>
                <w:spacing w:val="-10"/>
                <w:szCs w:val="21"/>
                <w:lang w:val="en-US" w:eastAsia="zh-CN"/>
              </w:rPr>
            </w:pP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7"/>
        <w:tblpPr w:leftFromText="180" w:rightFromText="180" w:vertAnchor="text" w:tblpXSpec="left" w:tblpY="1"/>
        <w:tblOverlap w:val="never"/>
        <w:tblW w:w="13200" w:type="dxa"/>
        <w:tblInd w:w="0" w:type="dxa"/>
        <w:tblBorders>
          <w:top w:val="single" w:color="auto" w:sz="4" w:space="0"/>
          <w:left w:val="single" w:color="auto" w:sz="4" w:space="0"/>
          <w:bottom w:val="single" w:color="auto" w:sz="4" w:space="0"/>
          <w:right w:val="single" w:color="auto" w:sz="4" w:space="0"/>
          <w:insideH w:val="single" w:color="auto" w:sz="6" w:space="0"/>
          <w:insideV w:val="none" w:color="auto" w:sz="0" w:space="0"/>
        </w:tblBorders>
        <w:tblLayout w:type="fixed"/>
        <w:tblCellMar>
          <w:top w:w="0" w:type="dxa"/>
          <w:left w:w="108" w:type="dxa"/>
          <w:bottom w:w="0" w:type="dxa"/>
          <w:right w:w="108" w:type="dxa"/>
        </w:tblCellMar>
      </w:tblPr>
      <w:tblGrid>
        <w:gridCol w:w="13200"/>
      </w:tblGrid>
      <w:tr>
        <w:tblPrEx>
          <w:tblBorders>
            <w:top w:val="single" w:color="auto" w:sz="4" w:space="0"/>
            <w:left w:val="single" w:color="auto" w:sz="4" w:space="0"/>
            <w:bottom w:val="single" w:color="auto" w:sz="4" w:space="0"/>
            <w:right w:val="single" w:color="auto" w:sz="4" w:space="0"/>
            <w:insideH w:val="single" w:color="auto" w:sz="6" w:space="0"/>
            <w:insideV w:val="none" w:color="auto" w:sz="0" w:space="0"/>
          </w:tblBorders>
          <w:tblCellMar>
            <w:top w:w="0" w:type="dxa"/>
            <w:left w:w="108" w:type="dxa"/>
            <w:bottom w:w="0" w:type="dxa"/>
            <w:right w:w="108" w:type="dxa"/>
          </w:tblCellMar>
        </w:tblPrEx>
        <w:trPr>
          <w:trHeight w:val="7993" w:hRule="atLeast"/>
        </w:trPr>
        <w:tc>
          <w:tcPr>
            <w:tcW w:w="13200" w:type="dxa"/>
            <w:tcBorders>
              <w:tl2br w:val="nil"/>
              <w:tr2bl w:val="nil"/>
            </w:tcBorders>
            <w:vAlign w:val="top"/>
          </w:tcPr>
          <w:p>
            <w:pPr>
              <w:numPr>
                <w:ilvl w:val="0"/>
                <w:numId w:val="4"/>
              </w:numPr>
              <w:ind w:firstLine="48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排放情况</w:t>
            </w:r>
          </w:p>
          <w:p>
            <w:pPr>
              <w:pStyle w:val="2"/>
              <w:ind w:left="420" w:left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本项目有组织排放情况一览表见</w:t>
            </w:r>
            <w:r>
              <w:rPr>
                <w:rFonts w:hint="default" w:ascii="Times New Roman" w:hAnsi="Times New Roman" w:eastAsia="仿宋" w:cs="Times New Roman"/>
                <w:color w:val="auto"/>
                <w:sz w:val="24"/>
                <w:szCs w:val="24"/>
                <w:highlight w:val="none"/>
                <w:lang w:val="en-US" w:eastAsia="zh-CN"/>
              </w:rPr>
              <w:t>下</w:t>
            </w:r>
            <w:r>
              <w:rPr>
                <w:rFonts w:hint="default" w:ascii="Times New Roman" w:hAnsi="Times New Roman" w:eastAsia="仿宋" w:cs="Times New Roman"/>
                <w:color w:val="auto"/>
                <w:sz w:val="24"/>
                <w:szCs w:val="24"/>
                <w:highlight w:val="none"/>
              </w:rPr>
              <w:t>表。</w:t>
            </w:r>
          </w:p>
          <w:p>
            <w:pPr>
              <w:spacing w:line="240" w:lineRule="auto"/>
              <w:ind w:firstLine="0" w:firstLineChars="0"/>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表</w:t>
            </w:r>
            <w:r>
              <w:rPr>
                <w:rFonts w:hint="eastAsia" w:ascii="Times New Roman" w:hAnsi="Times New Roman" w:eastAsia="仿宋" w:cs="Times New Roman"/>
                <w:b/>
                <w:color w:val="auto"/>
                <w:sz w:val="24"/>
                <w:szCs w:val="24"/>
                <w:highlight w:val="none"/>
                <w:lang w:val="en-US" w:eastAsia="zh-CN"/>
              </w:rPr>
              <w:t>4-4</w:t>
            </w:r>
            <w:r>
              <w:rPr>
                <w:rFonts w:hint="default" w:ascii="Times New Roman" w:hAnsi="Times New Roman" w:eastAsia="仿宋" w:cs="Times New Roman"/>
                <w:b/>
                <w:color w:val="auto"/>
                <w:sz w:val="24"/>
                <w:szCs w:val="24"/>
                <w:highlight w:val="none"/>
              </w:rPr>
              <w:t xml:space="preserve"> 本项目有组织排放大气污染物源强状况表</w:t>
            </w:r>
          </w:p>
          <w:tbl>
            <w:tblPr>
              <w:tblStyle w:val="17"/>
              <w:tblW w:w="129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1"/>
              <w:gridCol w:w="671"/>
              <w:gridCol w:w="672"/>
              <w:gridCol w:w="672"/>
              <w:gridCol w:w="770"/>
              <w:gridCol w:w="740"/>
              <w:gridCol w:w="872"/>
              <w:gridCol w:w="887"/>
              <w:gridCol w:w="597"/>
              <w:gridCol w:w="756"/>
              <w:gridCol w:w="708"/>
              <w:gridCol w:w="680"/>
              <w:gridCol w:w="672"/>
              <w:gridCol w:w="676"/>
              <w:gridCol w:w="683"/>
              <w:gridCol w:w="695"/>
              <w:gridCol w:w="842"/>
              <w:gridCol w:w="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671" w:type="dxa"/>
                  <w:vMerge w:val="restar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排气筒</w:t>
                  </w:r>
                </w:p>
              </w:tc>
              <w:tc>
                <w:tcPr>
                  <w:tcW w:w="671" w:type="dxa"/>
                  <w:vMerge w:val="restar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工序</w:t>
                  </w:r>
                </w:p>
              </w:tc>
              <w:tc>
                <w:tcPr>
                  <w:tcW w:w="672" w:type="dxa"/>
                  <w:vMerge w:val="restar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排气量m</w:t>
                  </w:r>
                  <w:r>
                    <w:rPr>
                      <w:rFonts w:hint="default" w:ascii="Times New Roman" w:hAnsi="Times New Roman" w:eastAsia="仿宋" w:cs="Times New Roman"/>
                      <w:color w:val="auto"/>
                      <w:kern w:val="0"/>
                      <w:sz w:val="21"/>
                      <w:szCs w:val="21"/>
                      <w:highlight w:val="none"/>
                      <w:vertAlign w:val="superscript"/>
                      <w:lang w:bidi="ar"/>
                    </w:rPr>
                    <w:t>3</w:t>
                  </w:r>
                  <w:r>
                    <w:rPr>
                      <w:rFonts w:hint="default" w:ascii="Times New Roman" w:hAnsi="Times New Roman" w:eastAsia="仿宋" w:cs="Times New Roman"/>
                      <w:color w:val="auto"/>
                      <w:kern w:val="0"/>
                      <w:sz w:val="21"/>
                      <w:szCs w:val="21"/>
                      <w:highlight w:val="none"/>
                      <w:lang w:bidi="ar"/>
                    </w:rPr>
                    <w:t>/h</w:t>
                  </w:r>
                </w:p>
              </w:tc>
              <w:tc>
                <w:tcPr>
                  <w:tcW w:w="672" w:type="dxa"/>
                  <w:vMerge w:val="restar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污染物名称</w:t>
                  </w:r>
                </w:p>
              </w:tc>
              <w:tc>
                <w:tcPr>
                  <w:tcW w:w="2382" w:type="dxa"/>
                  <w:gridSpan w:val="3"/>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产生状况</w:t>
                  </w:r>
                </w:p>
              </w:tc>
              <w:tc>
                <w:tcPr>
                  <w:tcW w:w="887" w:type="dxa"/>
                  <w:vMerge w:val="restar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治理措施</w:t>
                  </w:r>
                </w:p>
              </w:tc>
              <w:tc>
                <w:tcPr>
                  <w:tcW w:w="597" w:type="dxa"/>
                  <w:vMerge w:val="restar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去除率%</w:t>
                  </w:r>
                </w:p>
              </w:tc>
              <w:tc>
                <w:tcPr>
                  <w:tcW w:w="2144" w:type="dxa"/>
                  <w:gridSpan w:val="3"/>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排放状况</w:t>
                  </w:r>
                </w:p>
              </w:tc>
              <w:tc>
                <w:tcPr>
                  <w:tcW w:w="1348" w:type="dxa"/>
                  <w:gridSpan w:val="2"/>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执行标准</w:t>
                  </w:r>
                </w:p>
              </w:tc>
              <w:tc>
                <w:tcPr>
                  <w:tcW w:w="2220" w:type="dxa"/>
                  <w:gridSpan w:val="3"/>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排放源参数</w:t>
                  </w:r>
                </w:p>
              </w:tc>
              <w:tc>
                <w:tcPr>
                  <w:tcW w:w="730" w:type="dxa"/>
                  <w:vMerge w:val="restart"/>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排放时间h/a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671"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c>
                <w:tcPr>
                  <w:tcW w:w="671"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c>
                <w:tcPr>
                  <w:tcW w:w="672"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c>
                <w:tcPr>
                  <w:tcW w:w="672"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c>
                <w:tcPr>
                  <w:tcW w:w="770"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浓度</w:t>
                  </w:r>
                </w:p>
              </w:tc>
              <w:tc>
                <w:tcPr>
                  <w:tcW w:w="740"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速率</w:t>
                  </w:r>
                </w:p>
              </w:tc>
              <w:tc>
                <w:tcPr>
                  <w:tcW w:w="872"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产生量</w:t>
                  </w:r>
                </w:p>
              </w:tc>
              <w:tc>
                <w:tcPr>
                  <w:tcW w:w="887"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c>
                <w:tcPr>
                  <w:tcW w:w="597"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c>
                <w:tcPr>
                  <w:tcW w:w="756"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浓度</w:t>
                  </w:r>
                </w:p>
              </w:tc>
              <w:tc>
                <w:tcPr>
                  <w:tcW w:w="708"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速率</w:t>
                  </w:r>
                </w:p>
              </w:tc>
              <w:tc>
                <w:tcPr>
                  <w:tcW w:w="680"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排放量</w:t>
                  </w:r>
                </w:p>
              </w:tc>
              <w:tc>
                <w:tcPr>
                  <w:tcW w:w="672"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浓度</w:t>
                  </w:r>
                </w:p>
              </w:tc>
              <w:tc>
                <w:tcPr>
                  <w:tcW w:w="676"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速率</w:t>
                  </w:r>
                </w:p>
              </w:tc>
              <w:tc>
                <w:tcPr>
                  <w:tcW w:w="683"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高度</w:t>
                  </w:r>
                </w:p>
              </w:tc>
              <w:tc>
                <w:tcPr>
                  <w:tcW w:w="695"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直径</w:t>
                  </w:r>
                </w:p>
              </w:tc>
              <w:tc>
                <w:tcPr>
                  <w:tcW w:w="842"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温度</w:t>
                  </w:r>
                </w:p>
              </w:tc>
              <w:tc>
                <w:tcPr>
                  <w:tcW w:w="730"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71"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c>
                <w:tcPr>
                  <w:tcW w:w="671"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c>
                <w:tcPr>
                  <w:tcW w:w="672"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c>
                <w:tcPr>
                  <w:tcW w:w="672"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c>
                <w:tcPr>
                  <w:tcW w:w="770"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mg/m</w:t>
                  </w:r>
                  <w:r>
                    <w:rPr>
                      <w:rFonts w:hint="default" w:ascii="Times New Roman" w:hAnsi="Times New Roman" w:eastAsia="仿宋" w:cs="Times New Roman"/>
                      <w:color w:val="auto"/>
                      <w:kern w:val="0"/>
                      <w:sz w:val="21"/>
                      <w:szCs w:val="21"/>
                      <w:highlight w:val="none"/>
                      <w:vertAlign w:val="superscript"/>
                      <w:lang w:bidi="ar"/>
                    </w:rPr>
                    <w:t>3</w:t>
                  </w:r>
                </w:p>
              </w:tc>
              <w:tc>
                <w:tcPr>
                  <w:tcW w:w="740"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kg/h</w:t>
                  </w:r>
                </w:p>
              </w:tc>
              <w:tc>
                <w:tcPr>
                  <w:tcW w:w="872"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t/a</w:t>
                  </w:r>
                </w:p>
              </w:tc>
              <w:tc>
                <w:tcPr>
                  <w:tcW w:w="887"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c>
                <w:tcPr>
                  <w:tcW w:w="597"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c>
                <w:tcPr>
                  <w:tcW w:w="756"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mg/m</w:t>
                  </w:r>
                  <w:r>
                    <w:rPr>
                      <w:rFonts w:hint="default" w:ascii="Times New Roman" w:hAnsi="Times New Roman" w:eastAsia="仿宋" w:cs="Times New Roman"/>
                      <w:color w:val="auto"/>
                      <w:kern w:val="0"/>
                      <w:sz w:val="21"/>
                      <w:szCs w:val="21"/>
                      <w:highlight w:val="none"/>
                      <w:vertAlign w:val="superscript"/>
                      <w:lang w:bidi="ar"/>
                    </w:rPr>
                    <w:t>3</w:t>
                  </w:r>
                </w:p>
              </w:tc>
              <w:tc>
                <w:tcPr>
                  <w:tcW w:w="708"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kg/h</w:t>
                  </w:r>
                </w:p>
              </w:tc>
              <w:tc>
                <w:tcPr>
                  <w:tcW w:w="680"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t/a</w:t>
                  </w:r>
                </w:p>
              </w:tc>
              <w:tc>
                <w:tcPr>
                  <w:tcW w:w="672"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mg/m</w:t>
                  </w:r>
                  <w:r>
                    <w:rPr>
                      <w:rFonts w:hint="default" w:ascii="Times New Roman" w:hAnsi="Times New Roman" w:eastAsia="仿宋" w:cs="Times New Roman"/>
                      <w:color w:val="auto"/>
                      <w:kern w:val="0"/>
                      <w:sz w:val="21"/>
                      <w:szCs w:val="21"/>
                      <w:highlight w:val="none"/>
                      <w:vertAlign w:val="superscript"/>
                      <w:lang w:bidi="ar"/>
                    </w:rPr>
                    <w:t>3</w:t>
                  </w:r>
                </w:p>
              </w:tc>
              <w:tc>
                <w:tcPr>
                  <w:tcW w:w="676"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kg/h</w:t>
                  </w:r>
                </w:p>
              </w:tc>
              <w:tc>
                <w:tcPr>
                  <w:tcW w:w="683"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m</w:t>
                  </w:r>
                </w:p>
              </w:tc>
              <w:tc>
                <w:tcPr>
                  <w:tcW w:w="695"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m</w:t>
                  </w:r>
                </w:p>
              </w:tc>
              <w:tc>
                <w:tcPr>
                  <w:tcW w:w="842"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w:t>
                  </w:r>
                </w:p>
              </w:tc>
              <w:tc>
                <w:tcPr>
                  <w:tcW w:w="730" w:type="dxa"/>
                  <w:vMerge w:val="continue"/>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671"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1#</w:t>
                  </w:r>
                </w:p>
              </w:tc>
              <w:tc>
                <w:tcPr>
                  <w:tcW w:w="671"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淬火、回火</w:t>
                  </w:r>
                </w:p>
              </w:tc>
              <w:tc>
                <w:tcPr>
                  <w:tcW w:w="672"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3000</w:t>
                  </w:r>
                </w:p>
              </w:tc>
              <w:tc>
                <w:tcPr>
                  <w:tcW w:w="672"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非甲烷总烃</w:t>
                  </w:r>
                </w:p>
              </w:tc>
              <w:tc>
                <w:tcPr>
                  <w:tcW w:w="770"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225</w:t>
                  </w:r>
                </w:p>
              </w:tc>
              <w:tc>
                <w:tcPr>
                  <w:tcW w:w="740"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0.675</w:t>
                  </w:r>
                </w:p>
              </w:tc>
              <w:tc>
                <w:tcPr>
                  <w:tcW w:w="872"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1.62</w:t>
                  </w:r>
                </w:p>
              </w:tc>
              <w:tc>
                <w:tcPr>
                  <w:tcW w:w="887"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UV光氧</w:t>
                  </w:r>
                  <w:r>
                    <w:rPr>
                      <w:rFonts w:hint="default" w:ascii="Times New Roman" w:hAnsi="Times New Roman" w:eastAsia="仿宋" w:cs="Times New Roman"/>
                      <w:color w:val="auto"/>
                      <w:kern w:val="0"/>
                      <w:sz w:val="21"/>
                      <w:szCs w:val="21"/>
                      <w:highlight w:val="none"/>
                      <w:lang w:val="en-US" w:eastAsia="zh-CN" w:bidi="ar"/>
                    </w:rPr>
                    <w:t>＋活性炭</w:t>
                  </w:r>
                </w:p>
              </w:tc>
              <w:tc>
                <w:tcPr>
                  <w:tcW w:w="597" w:type="dxa"/>
                  <w:tcBorders>
                    <w:tl2br w:val="nil"/>
                    <w:tr2bl w:val="nil"/>
                  </w:tcBorders>
                  <w:shd w:val="clear" w:color="auto" w:fill="auto"/>
                  <w:tcMar>
                    <w:top w:w="12" w:type="dxa"/>
                    <w:left w:w="12" w:type="dxa"/>
                    <w:right w:w="12" w:type="dxa"/>
                  </w:tcMar>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90</w:t>
                  </w:r>
                </w:p>
              </w:tc>
              <w:tc>
                <w:tcPr>
                  <w:tcW w:w="756" w:type="dxa"/>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22.5</w:t>
                  </w:r>
                </w:p>
              </w:tc>
              <w:tc>
                <w:tcPr>
                  <w:tcW w:w="708" w:type="dxa"/>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0.0675</w:t>
                  </w:r>
                </w:p>
              </w:tc>
              <w:tc>
                <w:tcPr>
                  <w:tcW w:w="680" w:type="dxa"/>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0.162</w:t>
                  </w:r>
                </w:p>
              </w:tc>
              <w:tc>
                <w:tcPr>
                  <w:tcW w:w="672" w:type="dxa"/>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120</w:t>
                  </w:r>
                </w:p>
              </w:tc>
              <w:tc>
                <w:tcPr>
                  <w:tcW w:w="676" w:type="dxa"/>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5</w:t>
                  </w:r>
                </w:p>
              </w:tc>
              <w:tc>
                <w:tcPr>
                  <w:tcW w:w="683" w:type="dxa"/>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15</w:t>
                  </w:r>
                </w:p>
              </w:tc>
              <w:tc>
                <w:tcPr>
                  <w:tcW w:w="695" w:type="dxa"/>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0.3</w:t>
                  </w:r>
                </w:p>
              </w:tc>
              <w:tc>
                <w:tcPr>
                  <w:tcW w:w="842" w:type="dxa"/>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50</w:t>
                  </w:r>
                </w:p>
              </w:tc>
              <w:tc>
                <w:tcPr>
                  <w:tcW w:w="730" w:type="dxa"/>
                  <w:tcBorders>
                    <w:tl2br w:val="nil"/>
                    <w:tr2bl w:val="nil"/>
                  </w:tcBorders>
                  <w:shd w:val="clear" w:color="auto" w:fill="auto"/>
                  <w:vAlign w:val="center"/>
                </w:tcPr>
                <w:p>
                  <w:pPr>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2400</w:t>
                  </w:r>
                </w:p>
              </w:tc>
            </w:tr>
          </w:tbl>
          <w:p>
            <w:pPr>
              <w:ind w:firstLine="480" w:firstLineChars="200"/>
              <w:jc w:val="lef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本项目无组织排放情况一览表见</w:t>
            </w:r>
            <w:r>
              <w:rPr>
                <w:rFonts w:hint="default" w:ascii="Times New Roman" w:hAnsi="Times New Roman" w:eastAsia="仿宋" w:cs="Times New Roman"/>
                <w:color w:val="auto"/>
                <w:sz w:val="24"/>
                <w:szCs w:val="24"/>
                <w:highlight w:val="none"/>
                <w:lang w:val="en-US" w:eastAsia="zh-CN"/>
              </w:rPr>
              <w:t>下</w:t>
            </w:r>
            <w:r>
              <w:rPr>
                <w:rFonts w:hint="default" w:ascii="Times New Roman" w:hAnsi="Times New Roman" w:eastAsia="仿宋" w:cs="Times New Roman"/>
                <w:color w:val="auto"/>
                <w:sz w:val="24"/>
                <w:szCs w:val="24"/>
                <w:highlight w:val="none"/>
              </w:rPr>
              <w:t>表。</w:t>
            </w:r>
          </w:p>
          <w:p>
            <w:pPr>
              <w:pStyle w:val="41"/>
              <w:spacing w:line="240" w:lineRule="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表</w:t>
            </w:r>
            <w:r>
              <w:rPr>
                <w:rFonts w:hint="eastAsia" w:ascii="Times New Roman" w:hAnsi="Times New Roman" w:eastAsia="仿宋" w:cs="Times New Roman"/>
                <w:color w:val="auto"/>
                <w:sz w:val="24"/>
                <w:szCs w:val="24"/>
                <w:highlight w:val="none"/>
                <w:lang w:val="en-US" w:eastAsia="zh-CN"/>
              </w:rPr>
              <w:t>4-5</w:t>
            </w:r>
            <w:r>
              <w:rPr>
                <w:rFonts w:hint="default" w:ascii="Times New Roman" w:hAnsi="Times New Roman" w:eastAsia="仿宋" w:cs="Times New Roman"/>
                <w:color w:val="auto"/>
                <w:sz w:val="24"/>
                <w:szCs w:val="24"/>
                <w:highlight w:val="none"/>
              </w:rPr>
              <w:t xml:space="preserve"> 本项目无组织废气排放情况表</w:t>
            </w:r>
          </w:p>
          <w:tbl>
            <w:tblPr>
              <w:tblStyle w:val="17"/>
              <w:tblW w:w="1301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49"/>
              <w:gridCol w:w="1549"/>
              <w:gridCol w:w="1272"/>
              <w:gridCol w:w="2604"/>
              <w:gridCol w:w="1526"/>
              <w:gridCol w:w="1418"/>
              <w:gridCol w:w="1549"/>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8" w:hRule="atLeast"/>
              </w:trPr>
              <w:tc>
                <w:tcPr>
                  <w:tcW w:w="1549"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
                      <w:color w:val="auto"/>
                      <w:kern w:val="0"/>
                      <w:sz w:val="21"/>
                      <w:szCs w:val="21"/>
                      <w:highlight w:val="none"/>
                      <w:lang w:bidi="ar"/>
                    </w:rPr>
                    <w:t>污染源位置</w:t>
                  </w:r>
                </w:p>
              </w:tc>
              <w:tc>
                <w:tcPr>
                  <w:tcW w:w="1549"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kern w:val="0"/>
                      <w:sz w:val="21"/>
                      <w:szCs w:val="21"/>
                      <w:highlight w:val="none"/>
                      <w:lang w:bidi="ar"/>
                    </w:rPr>
                    <w:t>污染物名称</w:t>
                  </w:r>
                </w:p>
              </w:tc>
              <w:tc>
                <w:tcPr>
                  <w:tcW w:w="12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r>
                    <w:rPr>
                      <w:rStyle w:val="48"/>
                      <w:rFonts w:hint="default" w:ascii="Times New Roman" w:hAnsi="Times New Roman" w:eastAsia="仿宋" w:cs="Times New Roman"/>
                      <w:b/>
                      <w:color w:val="auto"/>
                      <w:sz w:val="21"/>
                      <w:szCs w:val="21"/>
                      <w:highlight w:val="none"/>
                      <w:lang w:bidi="ar"/>
                    </w:rPr>
                    <w:t>产生量</w:t>
                  </w:r>
                  <w:r>
                    <w:rPr>
                      <w:rStyle w:val="49"/>
                      <w:rFonts w:hint="default" w:ascii="Times New Roman" w:hAnsi="Times New Roman" w:eastAsia="仿宋" w:cs="Times New Roman"/>
                      <w:b/>
                      <w:color w:val="auto"/>
                      <w:sz w:val="21"/>
                      <w:szCs w:val="21"/>
                      <w:highlight w:val="none"/>
                      <w:vertAlign w:val="baseline"/>
                      <w:lang w:bidi="ar"/>
                    </w:rPr>
                    <w:t>（t/a）</w:t>
                  </w:r>
                </w:p>
              </w:tc>
              <w:tc>
                <w:tcPr>
                  <w:tcW w:w="26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kern w:val="0"/>
                      <w:sz w:val="21"/>
                      <w:szCs w:val="21"/>
                      <w:highlight w:val="none"/>
                      <w:lang w:bidi="ar"/>
                    </w:rPr>
                    <w:t>污染防治措施</w:t>
                  </w:r>
                </w:p>
              </w:tc>
              <w:tc>
                <w:tcPr>
                  <w:tcW w:w="2944" w:type="dxa"/>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kern w:val="0"/>
                      <w:sz w:val="21"/>
                      <w:szCs w:val="21"/>
                      <w:highlight w:val="none"/>
                      <w:lang w:bidi="ar"/>
                    </w:rPr>
                    <w:t>污染物排放</w:t>
                  </w:r>
                </w:p>
              </w:tc>
              <w:tc>
                <w:tcPr>
                  <w:tcW w:w="1549"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r>
                    <w:rPr>
                      <w:rStyle w:val="49"/>
                      <w:rFonts w:hint="default" w:ascii="Times New Roman" w:hAnsi="Times New Roman" w:eastAsia="仿宋" w:cs="Times New Roman"/>
                      <w:b/>
                      <w:color w:val="auto"/>
                      <w:sz w:val="21"/>
                      <w:szCs w:val="21"/>
                      <w:highlight w:val="none"/>
                      <w:vertAlign w:val="baseline"/>
                      <w:lang w:bidi="ar"/>
                    </w:rPr>
                    <w:t>面源面积（m</w:t>
                  </w:r>
                  <w:r>
                    <w:rPr>
                      <w:rStyle w:val="50"/>
                      <w:rFonts w:hint="default" w:ascii="Times New Roman" w:hAnsi="Times New Roman" w:eastAsia="仿宋" w:cs="Times New Roman"/>
                      <w:color w:val="auto"/>
                      <w:sz w:val="21"/>
                      <w:szCs w:val="21"/>
                      <w:highlight w:val="none"/>
                      <w:vertAlign w:val="superscript"/>
                      <w:lang w:bidi="ar"/>
                    </w:rPr>
                    <w:t>2</w:t>
                  </w:r>
                  <w:r>
                    <w:rPr>
                      <w:rStyle w:val="49"/>
                      <w:rFonts w:hint="default" w:ascii="Times New Roman" w:hAnsi="Times New Roman" w:eastAsia="仿宋" w:cs="Times New Roman"/>
                      <w:b/>
                      <w:color w:val="auto"/>
                      <w:sz w:val="21"/>
                      <w:szCs w:val="21"/>
                      <w:highlight w:val="none"/>
                      <w:vertAlign w:val="baseline"/>
                      <w:lang w:bidi="ar"/>
                    </w:rPr>
                    <w:t>）</w:t>
                  </w:r>
                </w:p>
              </w:tc>
              <w:tc>
                <w:tcPr>
                  <w:tcW w:w="1549"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r>
                    <w:rPr>
                      <w:rStyle w:val="49"/>
                      <w:rFonts w:hint="default" w:ascii="Times New Roman" w:hAnsi="Times New Roman" w:eastAsia="仿宋" w:cs="Times New Roman"/>
                      <w:b/>
                      <w:color w:val="auto"/>
                      <w:sz w:val="21"/>
                      <w:szCs w:val="21"/>
                      <w:highlight w:val="none"/>
                      <w:vertAlign w:val="baseline"/>
                      <w:lang w:bidi="ar"/>
                    </w:rPr>
                    <w:t>面源高度（m）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8" w:hRule="atLeast"/>
              </w:trPr>
              <w:tc>
                <w:tcPr>
                  <w:tcW w:w="154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p>
              </w:tc>
              <w:tc>
                <w:tcPr>
                  <w:tcW w:w="1549"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p>
              </w:tc>
              <w:tc>
                <w:tcPr>
                  <w:tcW w:w="12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p>
              </w:tc>
              <w:tc>
                <w:tcPr>
                  <w:tcW w:w="260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p>
              </w:tc>
              <w:tc>
                <w:tcPr>
                  <w:tcW w:w="152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r>
                    <w:rPr>
                      <w:rStyle w:val="49"/>
                      <w:rFonts w:hint="default" w:ascii="Times New Roman" w:hAnsi="Times New Roman" w:eastAsia="仿宋" w:cs="Times New Roman"/>
                      <w:b/>
                      <w:color w:val="auto"/>
                      <w:sz w:val="21"/>
                      <w:szCs w:val="21"/>
                      <w:highlight w:val="none"/>
                      <w:vertAlign w:val="baseline"/>
                      <w:lang w:bidi="ar"/>
                    </w:rPr>
                    <w:t>排放量（t/a）</w:t>
                  </w:r>
                </w:p>
              </w:tc>
              <w:tc>
                <w:tcPr>
                  <w:tcW w:w="141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kern w:val="0"/>
                      <w:sz w:val="21"/>
                      <w:szCs w:val="21"/>
                      <w:highlight w:val="none"/>
                      <w:lang w:bidi="ar"/>
                    </w:rPr>
                    <w:t>排放速率kg/h</w:t>
                  </w:r>
                </w:p>
              </w:tc>
              <w:tc>
                <w:tcPr>
                  <w:tcW w:w="154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1549"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8" w:hRule="atLeast"/>
              </w:trPr>
              <w:tc>
                <w:tcPr>
                  <w:tcW w:w="154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生产车间</w:t>
                  </w:r>
                </w:p>
              </w:tc>
              <w:tc>
                <w:tcPr>
                  <w:tcW w:w="1549" w:type="dxa"/>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bidi="ar"/>
                    </w:rPr>
                    <w:t>非甲烷总烃</w:t>
                  </w:r>
                </w:p>
              </w:tc>
              <w:tc>
                <w:tcPr>
                  <w:tcW w:w="12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0.18</w:t>
                  </w:r>
                </w:p>
              </w:tc>
              <w:tc>
                <w:tcPr>
                  <w:tcW w:w="260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加强车间通风</w:t>
                  </w:r>
                </w:p>
              </w:tc>
              <w:tc>
                <w:tcPr>
                  <w:tcW w:w="152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0.18</w:t>
                  </w:r>
                </w:p>
              </w:tc>
              <w:tc>
                <w:tcPr>
                  <w:tcW w:w="1418"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0.075</w:t>
                  </w:r>
                </w:p>
              </w:tc>
              <w:tc>
                <w:tcPr>
                  <w:tcW w:w="154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800</w:t>
                  </w:r>
                </w:p>
              </w:tc>
              <w:tc>
                <w:tcPr>
                  <w:tcW w:w="154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b w:val="0"/>
                <w:bCs/>
                <w:color w:val="auto"/>
                <w:sz w:val="24"/>
                <w:szCs w:val="24"/>
                <w:highlight w:val="none"/>
                <w:lang w:val="en-US" w:eastAsia="zh-CN"/>
              </w:rPr>
            </w:pPr>
            <w:r>
              <w:rPr>
                <w:rFonts w:hint="default" w:ascii="Times New Roman" w:hAnsi="Times New Roman" w:eastAsia="仿宋" w:cs="Times New Roman"/>
                <w:b w:val="0"/>
                <w:bCs/>
                <w:color w:val="auto"/>
                <w:sz w:val="24"/>
                <w:szCs w:val="24"/>
                <w:highlight w:val="none"/>
                <w:lang w:val="en-US" w:eastAsia="zh-CN"/>
              </w:rPr>
              <w:t>本项目的非正常排放主要考虑活性</w:t>
            </w:r>
            <w:r>
              <w:rPr>
                <w:rFonts w:hint="eastAsia" w:eastAsia="仿宋" w:cs="Times New Roman"/>
                <w:b w:val="0"/>
                <w:bCs/>
                <w:color w:val="auto"/>
                <w:sz w:val="24"/>
                <w:szCs w:val="24"/>
                <w:highlight w:val="none"/>
                <w:lang w:val="en-US" w:eastAsia="zh-CN"/>
              </w:rPr>
              <w:t>炭</w:t>
            </w:r>
            <w:r>
              <w:rPr>
                <w:rFonts w:hint="default" w:ascii="Times New Roman" w:hAnsi="Times New Roman" w:eastAsia="仿宋" w:cs="Times New Roman"/>
                <w:b w:val="0"/>
                <w:bCs/>
                <w:color w:val="auto"/>
                <w:sz w:val="24"/>
                <w:szCs w:val="24"/>
                <w:highlight w:val="none"/>
                <w:lang w:val="en-US" w:eastAsia="zh-CN"/>
              </w:rPr>
              <w:t>吸收装置未定期进行更换的情况，未能达到设计的吸收效率，整个废气处理装置吸收效率降低50%，排放时间为30min，主要污染物排放源强见表</w:t>
            </w:r>
            <w:r>
              <w:rPr>
                <w:rFonts w:hint="eastAsia" w:eastAsia="仿宋" w:cs="Times New Roman"/>
                <w:b w:val="0"/>
                <w:bCs/>
                <w:color w:val="auto"/>
                <w:sz w:val="24"/>
                <w:szCs w:val="24"/>
                <w:highlight w:val="none"/>
                <w:lang w:val="en-US" w:eastAsia="zh-CN"/>
              </w:rPr>
              <w:t>4-6</w:t>
            </w:r>
            <w:r>
              <w:rPr>
                <w:rFonts w:hint="default" w:ascii="Times New Roman" w:hAnsi="Times New Roman" w:eastAsia="仿宋" w:cs="Times New Roman"/>
                <w:b w:val="0"/>
                <w:bCs/>
                <w:color w:val="auto"/>
                <w:sz w:val="24"/>
                <w:szCs w:val="24"/>
                <w:highlight w:val="none"/>
                <w:lang w:val="en-US" w:eastAsia="zh-CN"/>
              </w:rPr>
              <w:t>。</w:t>
            </w:r>
          </w:p>
          <w:p>
            <w:pPr>
              <w:pStyle w:val="41"/>
              <w:spacing w:line="240" w:lineRule="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表</w:t>
            </w:r>
            <w:r>
              <w:rPr>
                <w:rFonts w:hint="eastAsia" w:ascii="Times New Roman" w:hAnsi="Times New Roman" w:eastAsia="仿宋" w:cs="Times New Roman"/>
                <w:color w:val="auto"/>
                <w:sz w:val="24"/>
                <w:szCs w:val="24"/>
                <w:highlight w:val="none"/>
                <w:lang w:val="en-US" w:eastAsia="zh-CN"/>
              </w:rPr>
              <w:t>4-6</w:t>
            </w:r>
            <w:r>
              <w:rPr>
                <w:rFonts w:hint="default" w:ascii="Times New Roman" w:hAnsi="Times New Roman" w:eastAsia="仿宋" w:cs="Times New Roman"/>
                <w:color w:val="auto"/>
                <w:sz w:val="24"/>
                <w:szCs w:val="24"/>
                <w:highlight w:val="none"/>
              </w:rPr>
              <w:t xml:space="preserve"> 本项目</w:t>
            </w:r>
            <w:r>
              <w:rPr>
                <w:rFonts w:hint="default" w:ascii="Times New Roman" w:hAnsi="Times New Roman" w:eastAsia="仿宋" w:cs="Times New Roman"/>
                <w:color w:val="auto"/>
                <w:sz w:val="24"/>
                <w:szCs w:val="24"/>
                <w:highlight w:val="none"/>
                <w:lang w:val="en-US" w:eastAsia="zh-CN"/>
              </w:rPr>
              <w:t>非正常工况</w:t>
            </w:r>
            <w:r>
              <w:rPr>
                <w:rFonts w:hint="default" w:ascii="Times New Roman" w:hAnsi="Times New Roman" w:eastAsia="仿宋" w:cs="Times New Roman"/>
                <w:color w:val="auto"/>
                <w:sz w:val="24"/>
                <w:szCs w:val="24"/>
                <w:highlight w:val="none"/>
              </w:rPr>
              <w:t>废气排放情况表</w:t>
            </w:r>
          </w:p>
          <w:tbl>
            <w:tblPr>
              <w:tblStyle w:val="17"/>
              <w:tblW w:w="129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30"/>
              <w:gridCol w:w="1581"/>
              <w:gridCol w:w="1018"/>
              <w:gridCol w:w="1697"/>
              <w:gridCol w:w="1290"/>
              <w:gridCol w:w="1279"/>
              <w:gridCol w:w="1097"/>
              <w:gridCol w:w="1221"/>
              <w:gridCol w:w="1221"/>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9" w:hRule="atLeast"/>
              </w:trPr>
              <w:tc>
                <w:tcPr>
                  <w:tcW w:w="133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
                      <w:color w:val="auto"/>
                      <w:kern w:val="0"/>
                      <w:sz w:val="21"/>
                      <w:szCs w:val="21"/>
                      <w:highlight w:val="none"/>
                      <w:lang w:val="en-US" w:eastAsia="zh-CN" w:bidi="ar"/>
                    </w:rPr>
                    <w:t>排气筒</w:t>
                  </w:r>
                </w:p>
              </w:tc>
              <w:tc>
                <w:tcPr>
                  <w:tcW w:w="158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kern w:val="0"/>
                      <w:sz w:val="21"/>
                      <w:szCs w:val="21"/>
                      <w:highlight w:val="none"/>
                      <w:lang w:bidi="ar"/>
                    </w:rPr>
                    <w:t>污染物名称</w:t>
                  </w:r>
                </w:p>
              </w:tc>
              <w:tc>
                <w:tcPr>
                  <w:tcW w:w="1018"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lang w:val="en-US" w:eastAsia="zh-CN" w:bidi="ar"/>
                    </w:rPr>
                  </w:pPr>
                  <w:r>
                    <w:rPr>
                      <w:rFonts w:hint="default" w:ascii="Times New Roman" w:hAnsi="Times New Roman" w:eastAsia="仿宋" w:cs="Times New Roman"/>
                      <w:b/>
                      <w:color w:val="auto"/>
                      <w:kern w:val="0"/>
                      <w:sz w:val="21"/>
                      <w:szCs w:val="21"/>
                      <w:highlight w:val="none"/>
                      <w:lang w:val="en-US" w:eastAsia="zh-CN" w:bidi="ar"/>
                    </w:rPr>
                    <w:t>事故原因</w:t>
                  </w:r>
                </w:p>
              </w:tc>
              <w:tc>
                <w:tcPr>
                  <w:tcW w:w="169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r>
                    <w:rPr>
                      <w:rStyle w:val="48"/>
                      <w:rFonts w:hint="default" w:ascii="Times New Roman" w:hAnsi="Times New Roman" w:eastAsia="仿宋" w:cs="Times New Roman"/>
                      <w:b/>
                      <w:color w:val="auto"/>
                      <w:sz w:val="21"/>
                      <w:szCs w:val="21"/>
                      <w:highlight w:val="none"/>
                      <w:lang w:val="en-US" w:eastAsia="zh-CN" w:bidi="ar"/>
                    </w:rPr>
                    <w:t>排气量</w:t>
                  </w:r>
                  <w:r>
                    <w:rPr>
                      <w:rStyle w:val="49"/>
                      <w:rFonts w:hint="default" w:ascii="Times New Roman" w:hAnsi="Times New Roman" w:eastAsia="仿宋" w:cs="Times New Roman"/>
                      <w:b/>
                      <w:color w:val="auto"/>
                      <w:sz w:val="21"/>
                      <w:szCs w:val="21"/>
                      <w:highlight w:val="none"/>
                      <w:vertAlign w:val="baseline"/>
                      <w:lang w:bidi="ar"/>
                    </w:rPr>
                    <w:t>（</w:t>
                  </w:r>
                  <w:r>
                    <w:rPr>
                      <w:rFonts w:hint="default" w:ascii="Times New Roman" w:hAnsi="Times New Roman" w:eastAsia="仿宋" w:cs="Times New Roman"/>
                      <w:b/>
                      <w:bCs/>
                      <w:sz w:val="21"/>
                      <w:szCs w:val="21"/>
                    </w:rPr>
                    <w:t>m</w:t>
                  </w:r>
                  <w:r>
                    <w:rPr>
                      <w:rFonts w:hint="default" w:ascii="Times New Roman" w:hAnsi="Times New Roman" w:eastAsia="仿宋" w:cs="Times New Roman"/>
                      <w:b/>
                      <w:bCs/>
                      <w:sz w:val="21"/>
                      <w:szCs w:val="21"/>
                      <w:vertAlign w:val="superscript"/>
                    </w:rPr>
                    <w:t>3</w:t>
                  </w:r>
                  <w:r>
                    <w:rPr>
                      <w:rFonts w:hint="default" w:ascii="Times New Roman" w:hAnsi="Times New Roman" w:eastAsia="仿宋" w:cs="Times New Roman"/>
                      <w:b/>
                      <w:bCs/>
                      <w:sz w:val="21"/>
                      <w:szCs w:val="21"/>
                    </w:rPr>
                    <w:t>/h</w:t>
                  </w:r>
                  <w:r>
                    <w:rPr>
                      <w:rStyle w:val="49"/>
                      <w:rFonts w:hint="default" w:ascii="Times New Roman" w:hAnsi="Times New Roman" w:eastAsia="仿宋" w:cs="Times New Roman"/>
                      <w:b/>
                      <w:color w:val="auto"/>
                      <w:sz w:val="21"/>
                      <w:szCs w:val="21"/>
                      <w:highlight w:val="none"/>
                      <w:vertAlign w:val="baseline"/>
                      <w:lang w:bidi="ar"/>
                    </w:rPr>
                    <w:t>）</w:t>
                  </w:r>
                </w:p>
              </w:tc>
              <w:tc>
                <w:tcPr>
                  <w:tcW w:w="3666" w:type="dxa"/>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lang w:bidi="ar"/>
                    </w:rPr>
                  </w:pPr>
                  <w:r>
                    <w:rPr>
                      <w:rFonts w:hint="default" w:ascii="Times New Roman" w:hAnsi="Times New Roman" w:eastAsia="仿宋" w:cs="Times New Roman"/>
                      <w:b/>
                      <w:color w:val="auto"/>
                      <w:kern w:val="0"/>
                      <w:sz w:val="21"/>
                      <w:szCs w:val="21"/>
                      <w:highlight w:val="none"/>
                      <w:lang w:bidi="ar"/>
                    </w:rPr>
                    <w:t>污染物</w:t>
                  </w:r>
                  <w:r>
                    <w:rPr>
                      <w:rFonts w:hint="eastAsia" w:eastAsia="仿宋" w:cs="Times New Roman"/>
                      <w:b/>
                      <w:color w:val="auto"/>
                      <w:kern w:val="0"/>
                      <w:sz w:val="21"/>
                      <w:szCs w:val="21"/>
                      <w:highlight w:val="none"/>
                      <w:lang w:val="en-US" w:eastAsia="zh-CN" w:bidi="ar"/>
                    </w:rPr>
                    <w:t>非正常</w:t>
                  </w:r>
                  <w:r>
                    <w:rPr>
                      <w:rFonts w:hint="default" w:ascii="Times New Roman" w:hAnsi="Times New Roman" w:eastAsia="仿宋" w:cs="Times New Roman"/>
                      <w:b/>
                      <w:color w:val="auto"/>
                      <w:kern w:val="0"/>
                      <w:sz w:val="21"/>
                      <w:szCs w:val="21"/>
                      <w:highlight w:val="none"/>
                      <w:lang w:bidi="ar"/>
                    </w:rPr>
                    <w:t>排放</w:t>
                  </w:r>
                  <w:r>
                    <w:rPr>
                      <w:rFonts w:hint="default" w:ascii="Times New Roman" w:hAnsi="Times New Roman" w:eastAsia="仿宋" w:cs="Times New Roman"/>
                      <w:b/>
                      <w:color w:val="auto"/>
                      <w:kern w:val="0"/>
                      <w:sz w:val="21"/>
                      <w:szCs w:val="21"/>
                      <w:highlight w:val="none"/>
                      <w:lang w:val="en-US" w:eastAsia="zh-CN" w:bidi="ar"/>
                    </w:rPr>
                    <w:t>状况</w:t>
                  </w:r>
                </w:p>
              </w:tc>
              <w:tc>
                <w:tcPr>
                  <w:tcW w:w="122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lang w:val="en-US" w:eastAsia="zh-CN" w:bidi="ar"/>
                    </w:rPr>
                  </w:pPr>
                  <w:r>
                    <w:rPr>
                      <w:rFonts w:hint="eastAsia" w:eastAsia="仿宋" w:cs="Times New Roman"/>
                      <w:b/>
                      <w:color w:val="auto"/>
                      <w:kern w:val="0"/>
                      <w:sz w:val="21"/>
                      <w:szCs w:val="21"/>
                      <w:highlight w:val="none"/>
                      <w:lang w:val="en-US" w:eastAsia="zh-CN" w:bidi="ar"/>
                    </w:rPr>
                    <w:t>单次持续时间/h</w:t>
                  </w:r>
                </w:p>
              </w:tc>
              <w:tc>
                <w:tcPr>
                  <w:tcW w:w="122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kern w:val="0"/>
                      <w:sz w:val="21"/>
                      <w:szCs w:val="21"/>
                      <w:highlight w:val="none"/>
                      <w:lang w:val="en-US" w:eastAsia="zh-CN" w:bidi="ar"/>
                    </w:rPr>
                  </w:pPr>
                  <w:r>
                    <w:rPr>
                      <w:rFonts w:hint="eastAsia" w:eastAsia="仿宋" w:cs="Times New Roman"/>
                      <w:b/>
                      <w:color w:val="auto"/>
                      <w:kern w:val="0"/>
                      <w:sz w:val="21"/>
                      <w:szCs w:val="21"/>
                      <w:highlight w:val="none"/>
                      <w:lang w:val="en-US" w:eastAsia="zh-CN" w:bidi="ar"/>
                    </w:rPr>
                    <w:t>年发生频次</w:t>
                  </w:r>
                </w:p>
              </w:tc>
              <w:tc>
                <w:tcPr>
                  <w:tcW w:w="122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eastAsia" w:ascii="Times New Roman" w:hAnsi="Times New Roman" w:eastAsia="仿宋" w:cs="Times New Roman"/>
                      <w:b/>
                      <w:color w:val="auto"/>
                      <w:kern w:val="0"/>
                      <w:sz w:val="21"/>
                      <w:szCs w:val="21"/>
                      <w:highlight w:val="none"/>
                      <w:lang w:val="en-US" w:eastAsia="zh-CN" w:bidi="ar"/>
                    </w:rPr>
                  </w:pPr>
                  <w:r>
                    <w:rPr>
                      <w:rFonts w:hint="eastAsia" w:eastAsia="仿宋" w:cs="Times New Roman"/>
                      <w:b/>
                      <w:color w:val="auto"/>
                      <w:kern w:val="0"/>
                      <w:sz w:val="21"/>
                      <w:szCs w:val="21"/>
                      <w:highlight w:val="none"/>
                      <w:lang w:val="en-US" w:eastAsia="zh-CN" w:bidi="ar"/>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trPr>
              <w:tc>
                <w:tcPr>
                  <w:tcW w:w="133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p>
              </w:tc>
              <w:tc>
                <w:tcPr>
                  <w:tcW w:w="15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p>
              </w:tc>
              <w:tc>
                <w:tcPr>
                  <w:tcW w:w="101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p>
              </w:tc>
              <w:tc>
                <w:tcPr>
                  <w:tcW w:w="169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p>
              </w:tc>
              <w:tc>
                <w:tcPr>
                  <w:tcW w:w="129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排放浓度mg/m</w:t>
                  </w:r>
                  <w:r>
                    <w:rPr>
                      <w:rFonts w:hint="eastAsia" w:eastAsia="仿宋" w:cs="Times New Roman"/>
                      <w:b/>
                      <w:color w:val="auto"/>
                      <w:sz w:val="21"/>
                      <w:szCs w:val="21"/>
                      <w:highlight w:val="none"/>
                      <w:vertAlign w:val="superscript"/>
                      <w:lang w:val="en-US" w:eastAsia="zh-CN"/>
                    </w:rPr>
                    <w:t>3</w:t>
                  </w:r>
                </w:p>
              </w:tc>
              <w:tc>
                <w:tcPr>
                  <w:tcW w:w="12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Times New Roman" w:hAnsi="Times New Roman" w:eastAsia="仿宋" w:cs="Times New Roman"/>
                      <w:b/>
                      <w:color w:val="auto"/>
                      <w:kern w:val="2"/>
                      <w:sz w:val="21"/>
                      <w:szCs w:val="21"/>
                      <w:highlight w:val="none"/>
                      <w:lang w:val="en-US" w:eastAsia="zh-CN" w:bidi="ar-SA"/>
                    </w:rPr>
                  </w:pPr>
                  <w:r>
                    <w:rPr>
                      <w:rFonts w:hint="default" w:ascii="Times New Roman" w:hAnsi="Times New Roman" w:eastAsia="仿宋" w:cs="Times New Roman"/>
                      <w:b/>
                      <w:color w:val="auto"/>
                      <w:kern w:val="0"/>
                      <w:sz w:val="21"/>
                      <w:szCs w:val="21"/>
                      <w:highlight w:val="none"/>
                      <w:lang w:bidi="ar"/>
                    </w:rPr>
                    <w:t>排放速率kg/h</w:t>
                  </w:r>
                </w:p>
              </w:tc>
              <w:tc>
                <w:tcPr>
                  <w:tcW w:w="10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b/>
                      <w:color w:val="auto"/>
                      <w:kern w:val="0"/>
                      <w:sz w:val="21"/>
                      <w:szCs w:val="21"/>
                      <w:highlight w:val="none"/>
                      <w:lang w:val="en-US" w:eastAsia="zh-CN" w:bidi="ar"/>
                    </w:rPr>
                  </w:pPr>
                  <w:r>
                    <w:rPr>
                      <w:rFonts w:hint="eastAsia" w:eastAsia="仿宋" w:cs="Times New Roman"/>
                      <w:b/>
                      <w:color w:val="auto"/>
                      <w:kern w:val="0"/>
                      <w:sz w:val="21"/>
                      <w:szCs w:val="21"/>
                      <w:highlight w:val="none"/>
                      <w:lang w:val="en-US" w:eastAsia="zh-CN" w:bidi="ar"/>
                    </w:rPr>
                    <w:t>排放量 kg</w:t>
                  </w:r>
                </w:p>
              </w:tc>
              <w:tc>
                <w:tcPr>
                  <w:tcW w:w="122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eastAsia="仿宋" w:cs="Times New Roman"/>
                      <w:b/>
                      <w:color w:val="auto"/>
                      <w:kern w:val="0"/>
                      <w:sz w:val="21"/>
                      <w:szCs w:val="21"/>
                      <w:highlight w:val="none"/>
                      <w:lang w:val="en-US" w:eastAsia="zh-CN" w:bidi="ar"/>
                    </w:rPr>
                  </w:pPr>
                </w:p>
              </w:tc>
              <w:tc>
                <w:tcPr>
                  <w:tcW w:w="122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eastAsia="仿宋" w:cs="Times New Roman"/>
                      <w:b/>
                      <w:color w:val="auto"/>
                      <w:kern w:val="0"/>
                      <w:sz w:val="21"/>
                      <w:szCs w:val="21"/>
                      <w:highlight w:val="none"/>
                      <w:lang w:val="en-US" w:eastAsia="zh-CN" w:bidi="ar"/>
                    </w:rPr>
                  </w:pPr>
                </w:p>
              </w:tc>
              <w:tc>
                <w:tcPr>
                  <w:tcW w:w="122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eastAsia="仿宋" w:cs="Times New Roman"/>
                      <w:b/>
                      <w:color w:val="auto"/>
                      <w:kern w:val="0"/>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6" w:hRule="atLeast"/>
              </w:trPr>
              <w:tc>
                <w:tcPr>
                  <w:tcW w:w="13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1#排气筒</w:t>
                  </w:r>
                </w:p>
              </w:tc>
              <w:tc>
                <w:tcPr>
                  <w:tcW w:w="158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非甲烷总烃</w:t>
                  </w:r>
                </w:p>
              </w:tc>
              <w:tc>
                <w:tcPr>
                  <w:tcW w:w="1018"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活性</w:t>
                  </w:r>
                  <w:r>
                    <w:rPr>
                      <w:rFonts w:hint="eastAsia" w:eastAsia="仿宋" w:cs="Times New Roman"/>
                      <w:color w:val="auto"/>
                      <w:sz w:val="21"/>
                      <w:szCs w:val="21"/>
                      <w:highlight w:val="none"/>
                      <w:lang w:val="en-US" w:eastAsia="zh-CN"/>
                    </w:rPr>
                    <w:t>炭</w:t>
                  </w:r>
                  <w:r>
                    <w:rPr>
                      <w:rFonts w:hint="default" w:ascii="Times New Roman" w:hAnsi="Times New Roman" w:eastAsia="仿宋" w:cs="Times New Roman"/>
                      <w:color w:val="auto"/>
                      <w:sz w:val="21"/>
                      <w:szCs w:val="21"/>
                      <w:highlight w:val="none"/>
                      <w:lang w:val="en-US" w:eastAsia="zh-CN"/>
                    </w:rPr>
                    <w:t>吸附装置未定期更换</w:t>
                  </w:r>
                </w:p>
              </w:tc>
              <w:tc>
                <w:tcPr>
                  <w:tcW w:w="1697"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3000</w:t>
                  </w:r>
                </w:p>
              </w:tc>
              <w:tc>
                <w:tcPr>
                  <w:tcW w:w="129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112.5</w:t>
                  </w:r>
                </w:p>
              </w:tc>
              <w:tc>
                <w:tcPr>
                  <w:tcW w:w="1279"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0.3375</w:t>
                  </w:r>
                </w:p>
              </w:tc>
              <w:tc>
                <w:tcPr>
                  <w:tcW w:w="1097"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0.3375</w:t>
                  </w:r>
                </w:p>
              </w:tc>
              <w:tc>
                <w:tcPr>
                  <w:tcW w:w="1221"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c>
                <w:tcPr>
                  <w:tcW w:w="1221"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c>
                <w:tcPr>
                  <w:tcW w:w="1222"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若废气治理设施失效，应立即停止生产并进行维修</w:t>
                  </w:r>
                </w:p>
              </w:tc>
            </w:tr>
          </w:tbl>
          <w:p>
            <w:pPr>
              <w:ind w:firstLine="0" w:firstLineChars="0"/>
              <w:jc w:val="center"/>
              <w:rPr>
                <w:rFonts w:hint="default"/>
                <w:b w:val="0"/>
                <w:bCs/>
                <w:color w:val="auto"/>
                <w:highlight w:val="none"/>
                <w:lang w:val="en-US" w:eastAsia="zh-CN"/>
              </w:rPr>
            </w:pPr>
          </w:p>
        </w:tc>
      </w:tr>
    </w:tbl>
    <w:p>
      <w:pPr>
        <w:pStyle w:val="2"/>
        <w:rPr>
          <w:rFonts w:hint="eastAsia"/>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5"/>
        <w:gridCol w:w="87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47" w:hRule="atLeast"/>
          <w:jc w:val="center"/>
        </w:trPr>
        <w:tc>
          <w:tcPr>
            <w:tcW w:w="746" w:type="dxa"/>
            <w:noWrap w:val="0"/>
            <w:tcMar>
              <w:left w:w="28" w:type="dxa"/>
              <w:right w:w="28" w:type="dxa"/>
            </w:tcMar>
            <w:vAlign w:val="center"/>
          </w:tcPr>
          <w:p>
            <w:pPr>
              <w:adjustRightInd w:val="0"/>
              <w:snapToGrid w:val="0"/>
              <w:jc w:val="center"/>
              <w:rPr>
                <w:rFonts w:hint="eastAsia" w:ascii="仿宋" w:hAnsi="仿宋" w:eastAsia="仿宋" w:cs="仿宋"/>
                <w:bCs/>
                <w:szCs w:val="21"/>
              </w:rPr>
            </w:pPr>
            <w:r>
              <w:rPr>
                <w:rFonts w:hint="eastAsia" w:ascii="仿宋" w:hAnsi="仿宋" w:eastAsia="仿宋" w:cs="仿宋"/>
                <w:bCs/>
                <w:szCs w:val="21"/>
              </w:rPr>
              <w:t>运营</w:t>
            </w:r>
          </w:p>
          <w:p>
            <w:pPr>
              <w:adjustRightInd w:val="0"/>
              <w:snapToGrid w:val="0"/>
              <w:jc w:val="center"/>
              <w:rPr>
                <w:rFonts w:hint="eastAsia" w:ascii="仿宋" w:hAnsi="仿宋" w:eastAsia="仿宋" w:cs="仿宋"/>
                <w:bCs/>
                <w:szCs w:val="21"/>
              </w:rPr>
            </w:pPr>
            <w:r>
              <w:rPr>
                <w:rFonts w:hint="eastAsia" w:ascii="仿宋" w:hAnsi="仿宋" w:eastAsia="仿宋" w:cs="仿宋"/>
                <w:bCs/>
                <w:szCs w:val="21"/>
              </w:rPr>
              <w:t>期环</w:t>
            </w:r>
          </w:p>
          <w:p>
            <w:pPr>
              <w:adjustRightInd w:val="0"/>
              <w:snapToGrid w:val="0"/>
              <w:jc w:val="center"/>
              <w:rPr>
                <w:rFonts w:hint="eastAsia" w:ascii="仿宋" w:hAnsi="仿宋" w:eastAsia="仿宋" w:cs="仿宋"/>
                <w:bCs/>
                <w:szCs w:val="21"/>
              </w:rPr>
            </w:pPr>
            <w:r>
              <w:rPr>
                <w:rFonts w:hint="eastAsia" w:ascii="仿宋" w:hAnsi="仿宋" w:eastAsia="仿宋" w:cs="仿宋"/>
                <w:bCs/>
                <w:szCs w:val="21"/>
              </w:rPr>
              <w:t>境影</w:t>
            </w:r>
          </w:p>
          <w:p>
            <w:pPr>
              <w:adjustRightInd w:val="0"/>
              <w:snapToGrid w:val="0"/>
              <w:jc w:val="center"/>
              <w:rPr>
                <w:rFonts w:hint="eastAsia" w:ascii="仿宋" w:hAnsi="仿宋" w:eastAsia="仿宋" w:cs="仿宋"/>
                <w:bCs/>
                <w:szCs w:val="21"/>
              </w:rPr>
            </w:pPr>
            <w:r>
              <w:rPr>
                <w:rFonts w:hint="eastAsia" w:ascii="仿宋" w:hAnsi="仿宋" w:eastAsia="仿宋" w:cs="仿宋"/>
                <w:bCs/>
                <w:szCs w:val="21"/>
              </w:rPr>
              <w:t>响和</w:t>
            </w:r>
          </w:p>
          <w:p>
            <w:pPr>
              <w:adjustRightInd w:val="0"/>
              <w:snapToGrid w:val="0"/>
              <w:jc w:val="center"/>
              <w:rPr>
                <w:rFonts w:hint="eastAsia" w:ascii="仿宋" w:hAnsi="仿宋" w:eastAsia="仿宋" w:cs="仿宋"/>
                <w:bCs/>
                <w:szCs w:val="21"/>
              </w:rPr>
            </w:pPr>
            <w:r>
              <w:rPr>
                <w:rFonts w:hint="eastAsia" w:ascii="仿宋" w:hAnsi="仿宋" w:eastAsia="仿宋" w:cs="仿宋"/>
                <w:bCs/>
                <w:szCs w:val="21"/>
              </w:rPr>
              <w:t>保护</w:t>
            </w:r>
          </w:p>
          <w:p>
            <w:pPr>
              <w:adjustRightInd w:val="0"/>
              <w:snapToGrid w:val="0"/>
              <w:jc w:val="center"/>
              <w:rPr>
                <w:rFonts w:ascii="宋体" w:hAnsi="宋体" w:cs="宋体"/>
                <w:bCs/>
                <w:szCs w:val="21"/>
              </w:rPr>
            </w:pPr>
            <w:r>
              <w:rPr>
                <w:rFonts w:hint="eastAsia" w:ascii="仿宋" w:hAnsi="仿宋" w:eastAsia="仿宋" w:cs="仿宋"/>
                <w:bCs/>
                <w:szCs w:val="21"/>
              </w:rPr>
              <w:t>措施</w:t>
            </w:r>
          </w:p>
        </w:tc>
        <w:tc>
          <w:tcPr>
            <w:tcW w:w="8162"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（4）排放口基本情况</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表4-</w:t>
            </w:r>
            <w:r>
              <w:rPr>
                <w:rFonts w:hint="eastAsia" w:eastAsia="仿宋" w:cs="Times New Roman"/>
                <w:b/>
                <w:bCs/>
                <w:kern w:val="0"/>
                <w:sz w:val="24"/>
                <w:szCs w:val="24"/>
                <w:lang w:val="en-US" w:eastAsia="zh-CN"/>
              </w:rPr>
              <w:t>8</w:t>
            </w:r>
            <w:r>
              <w:rPr>
                <w:rFonts w:hint="eastAsia" w:ascii="Times New Roman" w:hAnsi="Times New Roman" w:eastAsia="仿宋" w:cs="Times New Roman"/>
                <w:b/>
                <w:bCs/>
                <w:kern w:val="0"/>
                <w:sz w:val="24"/>
                <w:szCs w:val="24"/>
                <w:lang w:val="en-US" w:eastAsia="zh-CN"/>
              </w:rPr>
              <w:t xml:space="preserve"> 本项目排放口基本情况表</w:t>
            </w:r>
          </w:p>
          <w:tbl>
            <w:tblPr>
              <w:tblStyle w:val="1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4"/>
              <w:gridCol w:w="1032"/>
              <w:gridCol w:w="1012"/>
              <w:gridCol w:w="769"/>
              <w:gridCol w:w="665"/>
              <w:gridCol w:w="665"/>
              <w:gridCol w:w="764"/>
              <w:gridCol w:w="774"/>
              <w:gridCol w:w="640"/>
              <w:gridCol w:w="828"/>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jc w:val="center"/>
              </w:trPr>
              <w:tc>
                <w:tcPr>
                  <w:tcW w:w="285"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排气筒编号</w:t>
                  </w:r>
                </w:p>
              </w:tc>
              <w:tc>
                <w:tcPr>
                  <w:tcW w:w="1204" w:type="pct"/>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排气筒底部中心坐标</w:t>
                  </w:r>
                </w:p>
              </w:tc>
              <w:tc>
                <w:tcPr>
                  <w:tcW w:w="453"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海拔高度</w:t>
                  </w:r>
                </w:p>
              </w:tc>
              <w:tc>
                <w:tcPr>
                  <w:tcW w:w="392"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排气筒高度（m）</w:t>
                  </w:r>
                </w:p>
              </w:tc>
              <w:tc>
                <w:tcPr>
                  <w:tcW w:w="392"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内径（m）</w:t>
                  </w:r>
                </w:p>
              </w:tc>
              <w:tc>
                <w:tcPr>
                  <w:tcW w:w="450"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烟气流速（m/s）</w:t>
                  </w:r>
                </w:p>
              </w:tc>
              <w:tc>
                <w:tcPr>
                  <w:tcW w:w="456"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烟气温度（℃）</w:t>
                  </w:r>
                </w:p>
              </w:tc>
              <w:tc>
                <w:tcPr>
                  <w:tcW w:w="377"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年排放小时数（h）</w:t>
                  </w:r>
                </w:p>
              </w:tc>
              <w:tc>
                <w:tcPr>
                  <w:tcW w:w="488"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污染物</w:t>
                  </w:r>
                </w:p>
              </w:tc>
              <w:tc>
                <w:tcPr>
                  <w:tcW w:w="500"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5"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608"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经度</w:t>
                  </w:r>
                </w:p>
              </w:tc>
              <w:tc>
                <w:tcPr>
                  <w:tcW w:w="59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纬度</w:t>
                  </w:r>
                </w:p>
              </w:tc>
              <w:tc>
                <w:tcPr>
                  <w:tcW w:w="453"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392"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392"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4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456"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377"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488"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p>
              </w:tc>
              <w:tc>
                <w:tcPr>
                  <w:tcW w:w="50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1#</w:t>
                  </w:r>
                </w:p>
              </w:tc>
              <w:tc>
                <w:tcPr>
                  <w:tcW w:w="1011" w:type="dxa"/>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sz w:val="21"/>
                      <w:szCs w:val="21"/>
                    </w:rPr>
                    <w:t>120.09372</w:t>
                  </w:r>
                </w:p>
              </w:tc>
              <w:tc>
                <w:tcPr>
                  <w:tcW w:w="99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sz w:val="21"/>
                      <w:szCs w:val="21"/>
                    </w:rPr>
                    <w:t>31.80800</w:t>
                  </w:r>
                </w:p>
              </w:tc>
              <w:tc>
                <w:tcPr>
                  <w:tcW w:w="75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cs="Times New Roman"/>
                      <w:color w:val="auto"/>
                      <w:sz w:val="21"/>
                      <w:szCs w:val="21"/>
                      <w:highlight w:val="none"/>
                      <w:lang w:val="en-US" w:eastAsia="zh-CN"/>
                    </w:rPr>
                    <w:t>4.7</w:t>
                  </w:r>
                  <w:r>
                    <w:rPr>
                      <w:rFonts w:hint="default" w:ascii="Times New Roman" w:hAnsi="Times New Roman" w:eastAsia="宋体" w:cs="Times New Roman"/>
                      <w:color w:val="auto"/>
                      <w:sz w:val="21"/>
                      <w:szCs w:val="21"/>
                      <w:highlight w:val="none"/>
                    </w:rPr>
                    <w:t>m</w:t>
                  </w:r>
                </w:p>
              </w:tc>
              <w:tc>
                <w:tcPr>
                  <w:tcW w:w="65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65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74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7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62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2400</w:t>
                  </w:r>
                </w:p>
              </w:tc>
              <w:tc>
                <w:tcPr>
                  <w:tcW w:w="488" w:type="pct"/>
                  <w:tcBorders>
                    <w:tl2br w:val="nil"/>
                    <w:tr2bl w:val="nil"/>
                  </w:tcBorders>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eastAsia" w:eastAsia="仿宋" w:cs="Times New Roman"/>
                      <w:color w:val="auto"/>
                      <w:kern w:val="0"/>
                      <w:sz w:val="21"/>
                      <w:szCs w:val="21"/>
                      <w:highlight w:val="none"/>
                      <w:lang w:val="en-US" w:eastAsia="zh-CN" w:bidi="ar"/>
                    </w:rPr>
                    <w:t>非甲烷总烃</w:t>
                  </w:r>
                </w:p>
              </w:tc>
              <w:tc>
                <w:tcPr>
                  <w:tcW w:w="500" w:type="pct"/>
                  <w:tcBorders>
                    <w:tl2br w:val="nil"/>
                    <w:tr2bl w:val="nil"/>
                  </w:tcBorders>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0.0</w:t>
                  </w:r>
                  <w:r>
                    <w:rPr>
                      <w:rFonts w:hint="eastAsia" w:eastAsia="仿宋" w:cs="Times New Roman"/>
                      <w:color w:val="auto"/>
                      <w:kern w:val="0"/>
                      <w:sz w:val="21"/>
                      <w:szCs w:val="21"/>
                      <w:highlight w:val="none"/>
                      <w:lang w:val="en-US" w:eastAsia="zh-CN" w:bidi="ar"/>
                    </w:rPr>
                    <w:t>675</w:t>
                  </w:r>
                </w:p>
              </w:tc>
            </w:tr>
          </w:tbl>
          <w:p>
            <w:pPr>
              <w:adjustRightInd w:val="0"/>
              <w:snapToGrid w:val="0"/>
              <w:spacing w:before="156" w:beforeLines="50" w:line="240" w:lineRule="auto"/>
              <w:ind w:firstLine="482"/>
              <w:jc w:val="center"/>
              <w:rPr>
                <w:rFonts w:hint="default" w:eastAsia="宋体" w:cs="Times New Roman"/>
                <w:b/>
                <w:color w:val="auto"/>
                <w:highlight w:val="none"/>
                <w:lang w:val="en-US"/>
              </w:rPr>
            </w:pPr>
            <w:r>
              <w:rPr>
                <w:rFonts w:hint="default" w:ascii="Times New Roman" w:hAnsi="Times New Roman" w:eastAsia="仿宋" w:cs="Times New Roman"/>
                <w:b/>
                <w:bCs/>
                <w:kern w:val="0"/>
                <w:sz w:val="24"/>
                <w:szCs w:val="24"/>
                <w:lang w:val="en-US" w:eastAsia="zh-CN"/>
              </w:rPr>
              <w:t>表</w:t>
            </w:r>
            <w:r>
              <w:rPr>
                <w:rFonts w:hint="eastAsia" w:eastAsia="仿宋" w:cs="Times New Roman"/>
                <w:b/>
                <w:bCs/>
                <w:kern w:val="0"/>
                <w:sz w:val="24"/>
                <w:szCs w:val="24"/>
                <w:lang w:val="en-US" w:eastAsia="zh-CN"/>
              </w:rPr>
              <w:t>4-9</w:t>
            </w:r>
            <w:r>
              <w:rPr>
                <w:rFonts w:hint="default" w:ascii="Times New Roman" w:hAnsi="Times New Roman" w:eastAsia="仿宋" w:cs="Times New Roman"/>
                <w:b/>
                <w:bCs/>
                <w:kern w:val="0"/>
                <w:sz w:val="24"/>
                <w:szCs w:val="24"/>
                <w:lang w:val="en-US" w:eastAsia="zh-CN"/>
              </w:rPr>
              <w:t xml:space="preserve"> </w:t>
            </w:r>
            <w:r>
              <w:rPr>
                <w:rFonts w:hint="eastAsia" w:eastAsia="仿宋" w:cs="Times New Roman"/>
                <w:b/>
                <w:bCs/>
                <w:kern w:val="0"/>
                <w:sz w:val="24"/>
                <w:szCs w:val="24"/>
                <w:lang w:val="en-US" w:eastAsia="zh-CN"/>
              </w:rPr>
              <w:t>无组织排放源基本情况</w:t>
            </w:r>
          </w:p>
          <w:tbl>
            <w:tblPr>
              <w:tblStyle w:val="1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0"/>
              <w:gridCol w:w="1136"/>
              <w:gridCol w:w="1138"/>
              <w:gridCol w:w="711"/>
              <w:gridCol w:w="674"/>
              <w:gridCol w:w="674"/>
              <w:gridCol w:w="740"/>
              <w:gridCol w:w="793"/>
              <w:gridCol w:w="638"/>
              <w:gridCol w:w="618"/>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6"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污染源名称</w:t>
                  </w:r>
                </w:p>
              </w:tc>
              <w:tc>
                <w:tcPr>
                  <w:tcW w:w="1339" w:type="pct"/>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面源起点坐标</w:t>
                  </w:r>
                </w:p>
              </w:tc>
              <w:tc>
                <w:tcPr>
                  <w:tcW w:w="419"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海拔高度</w:t>
                  </w:r>
                </w:p>
              </w:tc>
              <w:tc>
                <w:tcPr>
                  <w:tcW w:w="397"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长度（m）</w:t>
                  </w:r>
                </w:p>
              </w:tc>
              <w:tc>
                <w:tcPr>
                  <w:tcW w:w="397"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宽度（m）</w:t>
                  </w:r>
                </w:p>
              </w:tc>
              <w:tc>
                <w:tcPr>
                  <w:tcW w:w="436"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与正北夹角（°）</w:t>
                  </w:r>
                </w:p>
              </w:tc>
              <w:tc>
                <w:tcPr>
                  <w:tcW w:w="467"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面源有效排放高度（m）</w:t>
                  </w:r>
                </w:p>
              </w:tc>
              <w:tc>
                <w:tcPr>
                  <w:tcW w:w="376"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年排放小时数</w:t>
                  </w:r>
                </w:p>
              </w:tc>
              <w:tc>
                <w:tcPr>
                  <w:tcW w:w="364"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污染物</w:t>
                  </w:r>
                </w:p>
              </w:tc>
              <w:tc>
                <w:tcPr>
                  <w:tcW w:w="495"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rPr>
                    <w:t>排放速率（kg/h</w:t>
                  </w:r>
                  <w:r>
                    <w:rPr>
                      <w:rFonts w:hint="default" w:ascii="Times New Roman" w:hAnsi="Times New Roman" w:eastAsia="仿宋" w:cs="Times New Roman"/>
                      <w:b/>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6"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6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经度</w:t>
                  </w:r>
                </w:p>
              </w:tc>
              <w:tc>
                <w:tcPr>
                  <w:tcW w:w="66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纬度</w:t>
                  </w:r>
                </w:p>
              </w:tc>
              <w:tc>
                <w:tcPr>
                  <w:tcW w:w="419"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397"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397"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436"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467"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376"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364"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495"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0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生产车间</w:t>
                  </w:r>
                </w:p>
              </w:tc>
              <w:tc>
                <w:tcPr>
                  <w:tcW w:w="1113" w:type="dxa"/>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120.093626</w:t>
                  </w:r>
                </w:p>
              </w:tc>
              <w:tc>
                <w:tcPr>
                  <w:tcW w:w="111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31.808206</w:t>
                  </w:r>
                </w:p>
              </w:tc>
              <w:tc>
                <w:tcPr>
                  <w:tcW w:w="6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4.7</w:t>
                  </w:r>
                  <w:r>
                    <w:rPr>
                      <w:rFonts w:hint="default" w:ascii="Times New Roman" w:hAnsi="Times New Roman" w:eastAsia="仿宋" w:cs="Times New Roman"/>
                      <w:color w:val="auto"/>
                      <w:sz w:val="21"/>
                      <w:szCs w:val="21"/>
                      <w:highlight w:val="none"/>
                    </w:rPr>
                    <w:t>m</w:t>
                  </w:r>
                </w:p>
              </w:tc>
              <w:tc>
                <w:tcPr>
                  <w:tcW w:w="66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30</w:t>
                  </w:r>
                </w:p>
              </w:tc>
              <w:tc>
                <w:tcPr>
                  <w:tcW w:w="66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r>
                    <w:rPr>
                      <w:rFonts w:hint="eastAsia" w:eastAsia="仿宋" w:cs="Times New Roman"/>
                      <w:color w:val="auto"/>
                      <w:sz w:val="21"/>
                      <w:szCs w:val="21"/>
                      <w:highlight w:val="none"/>
                      <w:lang w:val="en-US" w:eastAsia="zh-CN"/>
                    </w:rPr>
                    <w:t>7</w:t>
                  </w:r>
                </w:p>
              </w:tc>
              <w:tc>
                <w:tcPr>
                  <w:tcW w:w="72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77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8</w:t>
                  </w:r>
                </w:p>
              </w:tc>
              <w:tc>
                <w:tcPr>
                  <w:tcW w:w="62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2400</w:t>
                  </w:r>
                </w:p>
              </w:tc>
              <w:tc>
                <w:tcPr>
                  <w:tcW w:w="364" w:type="pct"/>
                  <w:tcBorders>
                    <w:tl2br w:val="nil"/>
                    <w:tr2bl w:val="nil"/>
                  </w:tcBorders>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kern w:val="0"/>
                      <w:sz w:val="21"/>
                      <w:szCs w:val="21"/>
                      <w:highlight w:val="none"/>
                      <w:lang w:val="en-US" w:eastAsia="zh-CN" w:bidi="ar"/>
                    </w:rPr>
                    <w:t>非甲烷总烃</w:t>
                  </w:r>
                </w:p>
              </w:tc>
              <w:tc>
                <w:tcPr>
                  <w:tcW w:w="495" w:type="pct"/>
                  <w:tcBorders>
                    <w:tl2br w:val="nil"/>
                    <w:tr2bl w:val="nil"/>
                  </w:tcBorders>
                  <w:vAlign w:val="center"/>
                </w:tcPr>
                <w:p>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0.0</w:t>
                  </w:r>
                  <w:r>
                    <w:rPr>
                      <w:rFonts w:hint="eastAsia" w:eastAsia="仿宋" w:cs="Times New Roman"/>
                      <w:color w:val="auto"/>
                      <w:sz w:val="21"/>
                      <w:szCs w:val="21"/>
                      <w:highlight w:val="none"/>
                      <w:lang w:val="en-US" w:eastAsia="zh-CN"/>
                    </w:rPr>
                    <w:t>75</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（三）环境影响分析（定性分析）</w:t>
            </w:r>
          </w:p>
          <w:p>
            <w:pPr>
              <w:pStyle w:val="2"/>
              <w:spacing w:line="360" w:lineRule="auto"/>
              <w:ind w:firstLine="480" w:firstLineChars="200"/>
              <w:rPr>
                <w:rFonts w:hint="eastAsia" w:ascii="Times New Roman" w:hAnsi="Times New Roman" w:eastAsia="仿宋" w:cs="Times New Roman"/>
                <w:bCs/>
                <w:color w:val="auto"/>
                <w:highlight w:val="none"/>
                <w:lang w:val="en-US" w:eastAsia="zh-CN"/>
              </w:rPr>
            </w:pPr>
            <w:r>
              <w:rPr>
                <w:rFonts w:hint="default" w:ascii="Times New Roman" w:hAnsi="Times New Roman" w:eastAsia="仿宋" w:cs="Times New Roman"/>
                <w:bCs/>
                <w:color w:val="auto"/>
                <w:highlight w:val="none"/>
              </w:rPr>
              <w:t>估算模式已考虑了最不利的气象条件，根据预测结果，各污染物下风向预测最大地面浓度、占标率见</w:t>
            </w:r>
            <w:r>
              <w:rPr>
                <w:rFonts w:hint="eastAsia" w:ascii="Times New Roman" w:hAnsi="Times New Roman" w:eastAsia="仿宋" w:cs="Times New Roman"/>
                <w:bCs/>
                <w:color w:val="auto"/>
                <w:highlight w:val="none"/>
                <w:lang w:val="en-US" w:eastAsia="zh-CN"/>
              </w:rPr>
              <w:t>下表</w:t>
            </w:r>
          </w:p>
          <w:p>
            <w:pPr>
              <w:ind w:left="25" w:leftChars="12" w:firstLine="422" w:firstLineChars="175"/>
              <w:jc w:val="center"/>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b/>
                <w:color w:val="auto"/>
                <w:sz w:val="24"/>
                <w:szCs w:val="24"/>
                <w:highlight w:val="none"/>
              </w:rPr>
              <w:t>表</w:t>
            </w:r>
            <w:r>
              <w:rPr>
                <w:rFonts w:hint="default" w:ascii="Times New Roman" w:hAnsi="Times New Roman" w:eastAsia="仿宋" w:cs="Times New Roman"/>
                <w:b/>
                <w:color w:val="auto"/>
                <w:sz w:val="24"/>
                <w:szCs w:val="24"/>
                <w:highlight w:val="none"/>
                <w:lang w:val="en-US" w:eastAsia="zh-CN"/>
              </w:rPr>
              <w:t>4-11</w:t>
            </w:r>
            <w:r>
              <w:rPr>
                <w:rFonts w:hint="default" w:ascii="Times New Roman" w:hAnsi="Times New Roman" w:eastAsia="仿宋" w:cs="Times New Roman"/>
                <w:b/>
                <w:color w:val="auto"/>
                <w:sz w:val="24"/>
                <w:szCs w:val="24"/>
                <w:highlight w:val="none"/>
              </w:rPr>
              <w:t xml:space="preserve"> 下风向预测最大地面浓度、占标率一览表</w:t>
            </w:r>
          </w:p>
          <w:tbl>
            <w:tblPr>
              <w:tblStyle w:val="17"/>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515"/>
              <w:gridCol w:w="740"/>
              <w:gridCol w:w="1249"/>
              <w:gridCol w:w="1260"/>
              <w:gridCol w:w="1425"/>
              <w:gridCol w:w="1680"/>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3" w:hRule="atLeast"/>
                <w:jc w:val="center"/>
              </w:trPr>
              <w:tc>
                <w:tcPr>
                  <w:tcW w:w="5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类别</w:t>
                  </w:r>
                </w:p>
              </w:tc>
              <w:tc>
                <w:tcPr>
                  <w:tcW w:w="74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污染源</w:t>
                  </w:r>
                </w:p>
              </w:tc>
              <w:tc>
                <w:tcPr>
                  <w:tcW w:w="124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污染物名称</w:t>
                  </w:r>
                </w:p>
              </w:tc>
              <w:tc>
                <w:tcPr>
                  <w:tcW w:w="1260" w:type="dxa"/>
                  <w:tcBorders>
                    <w:tl2br w:val="nil"/>
                    <w:tr2bl w:val="nil"/>
                  </w:tcBorders>
                  <w:vAlign w:val="center"/>
                </w:tcPr>
                <w:p>
                  <w:pPr>
                    <w:pStyle w:val="4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bCs/>
                      <w:color w:val="auto"/>
                      <w:sz w:val="21"/>
                      <w:szCs w:val="21"/>
                      <w:highlight w:val="none"/>
                    </w:rPr>
                    <w:t>C</w:t>
                  </w:r>
                  <w:r>
                    <w:rPr>
                      <w:rFonts w:hint="default" w:ascii="Times New Roman" w:hAnsi="Times New Roman" w:eastAsia="仿宋" w:cs="Times New Roman"/>
                      <w:b/>
                      <w:bCs/>
                      <w:color w:val="auto"/>
                      <w:sz w:val="21"/>
                      <w:szCs w:val="21"/>
                      <w:highlight w:val="none"/>
                      <w:vertAlign w:val="subscript"/>
                    </w:rPr>
                    <w:t>i</w:t>
                  </w:r>
                  <w:r>
                    <w:rPr>
                      <w:rFonts w:hint="default" w:ascii="Times New Roman" w:hAnsi="Times New Roman" w:eastAsia="仿宋" w:cs="Times New Roman"/>
                      <w:b/>
                      <w:sz w:val="21"/>
                      <w:szCs w:val="21"/>
                    </w:rPr>
                    <w:t>(</w:t>
                  </w:r>
                  <w:r>
                    <w:rPr>
                      <w:rFonts w:hint="default" w:ascii="Times New Roman" w:hAnsi="Times New Roman" w:eastAsia="仿宋" w:cs="Times New Roman"/>
                      <w:b/>
                      <w:sz w:val="21"/>
                      <w:szCs w:val="21"/>
                      <w:lang w:val="en-US" w:eastAsia="zh-CN"/>
                    </w:rPr>
                    <w:t>μg</w:t>
                  </w:r>
                  <w:r>
                    <w:rPr>
                      <w:rFonts w:hint="default" w:ascii="Times New Roman" w:hAnsi="Times New Roman" w:eastAsia="仿宋" w:cs="Times New Roman"/>
                      <w:b/>
                      <w:sz w:val="21"/>
                      <w:szCs w:val="21"/>
                    </w:rPr>
                    <w:t>/m</w:t>
                  </w:r>
                  <w:r>
                    <w:rPr>
                      <w:rFonts w:hint="default" w:ascii="Times New Roman" w:hAnsi="Times New Roman" w:eastAsia="仿宋" w:cs="Times New Roman"/>
                      <w:b/>
                      <w:sz w:val="21"/>
                      <w:szCs w:val="21"/>
                      <w:vertAlign w:val="superscript"/>
                    </w:rPr>
                    <w:t>3</w:t>
                  </w:r>
                  <w:r>
                    <w:rPr>
                      <w:rFonts w:hint="default" w:ascii="Times New Roman" w:hAnsi="Times New Roman" w:eastAsia="仿宋" w:cs="Times New Roman"/>
                      <w:b/>
                      <w:sz w:val="21"/>
                      <w:szCs w:val="21"/>
                    </w:rPr>
                    <w:t>)</w:t>
                  </w:r>
                </w:p>
              </w:tc>
              <w:tc>
                <w:tcPr>
                  <w:tcW w:w="1425" w:type="dxa"/>
                  <w:tcBorders>
                    <w:tl2br w:val="nil"/>
                    <w:tr2bl w:val="nil"/>
                  </w:tcBorders>
                  <w:vAlign w:val="center"/>
                </w:tcPr>
                <w:p>
                  <w:pPr>
                    <w:pStyle w:val="4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bCs/>
                      <w:color w:val="auto"/>
                      <w:sz w:val="21"/>
                      <w:szCs w:val="21"/>
                      <w:highlight w:val="none"/>
                    </w:rPr>
                    <w:t>P</w:t>
                  </w:r>
                  <w:r>
                    <w:rPr>
                      <w:rFonts w:hint="default" w:ascii="Times New Roman" w:hAnsi="Times New Roman" w:eastAsia="仿宋" w:cs="Times New Roman"/>
                      <w:b/>
                      <w:bCs/>
                      <w:color w:val="auto"/>
                      <w:sz w:val="21"/>
                      <w:szCs w:val="21"/>
                      <w:highlight w:val="none"/>
                      <w:vertAlign w:val="subscript"/>
                    </w:rPr>
                    <w:t>i</w:t>
                  </w:r>
                  <w:r>
                    <w:rPr>
                      <w:rFonts w:hint="default" w:ascii="Times New Roman" w:hAnsi="Times New Roman" w:eastAsia="仿宋" w:cs="Times New Roman"/>
                      <w:b/>
                      <w:bCs/>
                      <w:color w:val="auto"/>
                      <w:sz w:val="21"/>
                      <w:szCs w:val="21"/>
                      <w:highlight w:val="none"/>
                    </w:rPr>
                    <w:t>（%）</w:t>
                  </w:r>
                </w:p>
              </w:tc>
              <w:tc>
                <w:tcPr>
                  <w:tcW w:w="168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下风向最大浓度出现距离（m）</w:t>
                  </w:r>
                </w:p>
              </w:tc>
              <w:tc>
                <w:tcPr>
                  <w:tcW w:w="143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C</w:t>
                  </w:r>
                  <w:r>
                    <w:rPr>
                      <w:rFonts w:hint="default" w:ascii="Times New Roman" w:hAnsi="Times New Roman" w:eastAsia="仿宋" w:cs="Times New Roman"/>
                      <w:b/>
                      <w:color w:val="auto"/>
                      <w:sz w:val="21"/>
                      <w:szCs w:val="21"/>
                      <w:highlight w:val="none"/>
                      <w:vertAlign w:val="subscript"/>
                    </w:rPr>
                    <w:t>0i</w:t>
                  </w:r>
                  <w:r>
                    <w:rPr>
                      <w:rFonts w:hint="default" w:ascii="Times New Roman" w:hAnsi="Times New Roman" w:eastAsia="仿宋" w:cs="Times New Roman"/>
                      <w:b/>
                      <w:sz w:val="21"/>
                      <w:szCs w:val="21"/>
                    </w:rPr>
                    <w:t>(</w:t>
                  </w:r>
                  <w:r>
                    <w:rPr>
                      <w:rFonts w:hint="default" w:ascii="Times New Roman" w:hAnsi="Times New Roman" w:eastAsia="仿宋" w:cs="Times New Roman"/>
                      <w:b/>
                      <w:sz w:val="21"/>
                      <w:szCs w:val="21"/>
                      <w:lang w:val="en-US" w:eastAsia="zh-CN"/>
                    </w:rPr>
                    <w:t>μg</w:t>
                  </w:r>
                  <w:r>
                    <w:rPr>
                      <w:rFonts w:hint="default" w:ascii="Times New Roman" w:hAnsi="Times New Roman" w:eastAsia="仿宋" w:cs="Times New Roman"/>
                      <w:b/>
                      <w:sz w:val="21"/>
                      <w:szCs w:val="21"/>
                    </w:rPr>
                    <w:t>/m</w:t>
                  </w:r>
                  <w:r>
                    <w:rPr>
                      <w:rFonts w:hint="default" w:ascii="Times New Roman" w:hAnsi="Times New Roman" w:eastAsia="仿宋" w:cs="Times New Roman"/>
                      <w:b/>
                      <w:sz w:val="21"/>
                      <w:szCs w:val="21"/>
                      <w:vertAlign w:val="superscript"/>
                    </w:rPr>
                    <w:t>3</w:t>
                  </w:r>
                  <w:r>
                    <w:rPr>
                      <w:rFonts w:hint="default" w:ascii="Times New Roman" w:hAnsi="Times New Roman" w:eastAsia="仿宋" w:cs="Times New Roman"/>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3" w:hRule="atLeast"/>
                <w:jc w:val="center"/>
              </w:trPr>
              <w:tc>
                <w:tcPr>
                  <w:tcW w:w="5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r>
                    <w:rPr>
                      <w:rFonts w:hint="default"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rPr>
                    <w:t>排气筒</w:t>
                  </w:r>
                </w:p>
              </w:tc>
              <w:tc>
                <w:tcPr>
                  <w:tcW w:w="74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有组织</w:t>
                  </w:r>
                </w:p>
              </w:tc>
              <w:tc>
                <w:tcPr>
                  <w:tcW w:w="1249" w:type="dxa"/>
                  <w:tcBorders>
                    <w:tl2br w:val="nil"/>
                    <w:tr2bl w:val="nil"/>
                  </w:tcBorders>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非甲烷总烃</w:t>
                  </w:r>
                </w:p>
              </w:tc>
              <w:tc>
                <w:tcPr>
                  <w:tcW w:w="126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6.50</w:t>
                  </w:r>
                </w:p>
              </w:tc>
              <w:tc>
                <w:tcPr>
                  <w:tcW w:w="1425"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0.33</w:t>
                  </w:r>
                </w:p>
              </w:tc>
              <w:tc>
                <w:tcPr>
                  <w:tcW w:w="168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16</w:t>
                  </w:r>
                </w:p>
              </w:tc>
              <w:tc>
                <w:tcPr>
                  <w:tcW w:w="143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2"/>
                      <w:sz w:val="21"/>
                      <w:szCs w:val="21"/>
                      <w:highlight w:val="none"/>
                      <w:lang w:val="en-US" w:eastAsia="zh-CN" w:bidi="ar-SA"/>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3" w:hRule="atLeast"/>
                <w:jc w:val="center"/>
              </w:trPr>
              <w:tc>
                <w:tcPr>
                  <w:tcW w:w="51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生产车间</w:t>
                  </w:r>
                </w:p>
              </w:tc>
              <w:tc>
                <w:tcPr>
                  <w:tcW w:w="74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无组织</w:t>
                  </w:r>
                </w:p>
              </w:tc>
              <w:tc>
                <w:tcPr>
                  <w:tcW w:w="1249" w:type="dxa"/>
                  <w:tcBorders>
                    <w:tl2br w:val="nil"/>
                    <w:tr2bl w:val="nil"/>
                  </w:tcBorders>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非甲烷总烃</w:t>
                  </w:r>
                </w:p>
              </w:tc>
              <w:tc>
                <w:tcPr>
                  <w:tcW w:w="126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97.7</w:t>
                  </w:r>
                </w:p>
              </w:tc>
              <w:tc>
                <w:tcPr>
                  <w:tcW w:w="1425"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2"/>
                      <w:sz w:val="21"/>
                      <w:szCs w:val="21"/>
                      <w:highlight w:val="none"/>
                      <w:lang w:val="en-US" w:eastAsia="zh-CN" w:bidi="ar-SA"/>
                    </w:rPr>
                    <w:t>4.89</w:t>
                  </w:r>
                </w:p>
              </w:tc>
              <w:tc>
                <w:tcPr>
                  <w:tcW w:w="168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2"/>
                      <w:sz w:val="21"/>
                      <w:szCs w:val="21"/>
                      <w:highlight w:val="none"/>
                      <w:lang w:val="en-US" w:eastAsia="zh-CN" w:bidi="ar-SA"/>
                    </w:rPr>
                    <w:t>18</w:t>
                  </w:r>
                </w:p>
              </w:tc>
              <w:tc>
                <w:tcPr>
                  <w:tcW w:w="143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2"/>
                      <w:sz w:val="21"/>
                      <w:szCs w:val="21"/>
                      <w:highlight w:val="none"/>
                      <w:lang w:val="en-US" w:eastAsia="zh-CN" w:bidi="ar-SA"/>
                    </w:rPr>
                    <w:t>2000</w:t>
                  </w:r>
                </w:p>
              </w:tc>
            </w:tr>
          </w:tbl>
          <w:p>
            <w:pPr>
              <w:pStyle w:val="2"/>
              <w:spacing w:line="360" w:lineRule="auto"/>
              <w:ind w:firstLine="480" w:firstLineChars="200"/>
              <w:jc w:val="left"/>
              <w:rPr>
                <w:rFonts w:hint="default" w:ascii="Times New Roman" w:hAnsi="Times New Roman" w:eastAsia="宋体" w:cs="Times New Roman"/>
                <w:bCs/>
                <w:color w:val="auto"/>
                <w:highlight w:val="none"/>
              </w:rPr>
            </w:pPr>
            <w:r>
              <w:rPr>
                <w:rFonts w:hint="default" w:ascii="Times New Roman" w:hAnsi="Times New Roman" w:eastAsia="仿宋" w:cs="Times New Roman"/>
                <w:bCs/>
                <w:color w:val="auto"/>
                <w:kern w:val="0"/>
                <w:sz w:val="24"/>
                <w:szCs w:val="24"/>
                <w:highlight w:val="none"/>
                <w:lang w:val="en-US" w:eastAsia="zh-CN" w:bidi="ar-SA"/>
              </w:rPr>
              <w:t>根据《环境影响评价技术导则  大气环境》（HJ2.2-2018），本项目大气环境评价等级为二级。</w:t>
            </w:r>
          </w:p>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eastAsia" w:ascii="Times New Roman" w:hAnsi="Times New Roman" w:eastAsia="仿宋" w:cs="Times New Roman"/>
                <w:bCs/>
                <w:color w:val="auto"/>
                <w:kern w:val="0"/>
                <w:sz w:val="24"/>
                <w:szCs w:val="24"/>
                <w:highlight w:val="none"/>
                <w:lang w:val="en-US" w:eastAsia="zh-CN" w:bidi="ar-SA"/>
              </w:rPr>
              <w:t>②</w:t>
            </w:r>
            <w:r>
              <w:rPr>
                <w:rFonts w:hint="default" w:ascii="Times New Roman" w:hAnsi="Times New Roman" w:eastAsia="仿宋" w:cs="Times New Roman"/>
                <w:bCs/>
                <w:color w:val="auto"/>
                <w:kern w:val="0"/>
                <w:sz w:val="24"/>
                <w:szCs w:val="24"/>
                <w:highlight w:val="none"/>
                <w:lang w:val="en-US" w:eastAsia="zh-CN" w:bidi="ar-SA"/>
              </w:rPr>
              <w:t>污染物排放核算</w:t>
            </w:r>
          </w:p>
          <w:p>
            <w:pPr>
              <w:pStyle w:val="2"/>
              <w:keepNext w:val="0"/>
              <w:keepLines w:val="0"/>
              <w:pageBreakBefore w:val="0"/>
              <w:widowControl w:val="0"/>
              <w:kinsoku/>
              <w:wordWrap/>
              <w:overflowPunct/>
              <w:topLinePunct w:val="0"/>
              <w:autoSpaceDE w:val="0"/>
              <w:autoSpaceDN w:val="0"/>
              <w:bidi w:val="0"/>
              <w:adjustRightInd w:val="0"/>
              <w:snapToGrid w:val="0"/>
              <w:spacing w:line="240" w:lineRule="auto"/>
              <w:ind w:firstLine="482" w:firstLineChars="200"/>
              <w:jc w:val="center"/>
              <w:textAlignment w:val="auto"/>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
                <w:bCs w:val="0"/>
                <w:color w:val="auto"/>
                <w:kern w:val="0"/>
                <w:sz w:val="24"/>
                <w:szCs w:val="24"/>
                <w:highlight w:val="none"/>
                <w:lang w:val="en-US" w:eastAsia="zh-CN" w:bidi="ar-SA"/>
              </w:rPr>
              <w:t>表</w:t>
            </w:r>
            <w:r>
              <w:rPr>
                <w:rFonts w:hint="eastAsia" w:ascii="Times New Roman" w:hAnsi="Times New Roman" w:eastAsia="仿宋" w:cs="Times New Roman"/>
                <w:b/>
                <w:bCs w:val="0"/>
                <w:color w:val="auto"/>
                <w:kern w:val="0"/>
                <w:sz w:val="24"/>
                <w:szCs w:val="24"/>
                <w:highlight w:val="none"/>
                <w:lang w:val="en-US" w:eastAsia="zh-CN" w:bidi="ar-SA"/>
              </w:rPr>
              <w:t>4-12</w:t>
            </w:r>
            <w:r>
              <w:rPr>
                <w:rFonts w:hint="default" w:ascii="Times New Roman" w:hAnsi="Times New Roman" w:eastAsia="仿宋" w:cs="Times New Roman"/>
                <w:b/>
                <w:bCs w:val="0"/>
                <w:color w:val="auto"/>
                <w:kern w:val="0"/>
                <w:sz w:val="24"/>
                <w:szCs w:val="24"/>
                <w:highlight w:val="none"/>
                <w:lang w:val="en-US" w:eastAsia="zh-CN" w:bidi="ar-SA"/>
              </w:rPr>
              <w:t xml:space="preserve"> 全厂大气污染有组织排放量核算表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553"/>
              <w:gridCol w:w="1231"/>
              <w:gridCol w:w="1030"/>
              <w:gridCol w:w="1945"/>
              <w:gridCol w:w="1906"/>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32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724"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排放口编号</w:t>
                  </w:r>
                </w:p>
              </w:tc>
              <w:tc>
                <w:tcPr>
                  <w:tcW w:w="60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w:t>
                  </w:r>
                </w:p>
              </w:tc>
              <w:tc>
                <w:tcPr>
                  <w:tcW w:w="114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核算排放浓度（mg/m</w:t>
                  </w:r>
                  <w:r>
                    <w:rPr>
                      <w:rFonts w:hint="default" w:ascii="Times New Roman" w:hAnsi="Times New Roman" w:eastAsia="仿宋" w:cs="Times New Roman"/>
                      <w:b/>
                      <w:color w:val="auto"/>
                      <w:sz w:val="21"/>
                      <w:szCs w:val="21"/>
                      <w:highlight w:val="none"/>
                      <w:vertAlign w:val="superscript"/>
                    </w:rPr>
                    <w:t>3</w:t>
                  </w:r>
                  <w:r>
                    <w:rPr>
                      <w:rFonts w:hint="default" w:ascii="Times New Roman" w:hAnsi="Times New Roman" w:eastAsia="仿宋" w:cs="Times New Roman"/>
                      <w:b/>
                      <w:color w:val="auto"/>
                      <w:sz w:val="21"/>
                      <w:szCs w:val="21"/>
                      <w:highlight w:val="none"/>
                    </w:rPr>
                    <w:t>）</w:t>
                  </w:r>
                </w:p>
              </w:tc>
              <w:tc>
                <w:tcPr>
                  <w:tcW w:w="112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核算排放速率（kg/h）</w:t>
                  </w:r>
                </w:p>
              </w:tc>
              <w:tc>
                <w:tcPr>
                  <w:tcW w:w="1071"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5000" w:type="pct"/>
                  <w:gridSpan w:val="6"/>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仿宋" w:cs="Times New Roman"/>
                      <w:color w:val="auto"/>
                      <w:sz w:val="18"/>
                      <w:szCs w:val="18"/>
                      <w:highlight w:val="none"/>
                      <w:lang w:eastAsia="zh-CN"/>
                    </w:rPr>
                  </w:pPr>
                  <w:r>
                    <w:rPr>
                      <w:rFonts w:hint="eastAsia" w:eastAsia="仿宋" w:cs="Times New Roman"/>
                      <w:color w:val="auto"/>
                      <w:sz w:val="21"/>
                      <w:szCs w:val="21"/>
                      <w:highlight w:val="no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2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724"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1#排气筒</w:t>
                  </w:r>
                </w:p>
              </w:tc>
              <w:tc>
                <w:tcPr>
                  <w:tcW w:w="60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非甲烷总烃</w:t>
                  </w:r>
                </w:p>
              </w:tc>
              <w:tc>
                <w:tcPr>
                  <w:tcW w:w="11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sz w:val="21"/>
                      <w:szCs w:val="21"/>
                      <w:lang w:val="en-US" w:eastAsia="zh-CN"/>
                    </w:rPr>
                    <w:t>22.5</w:t>
                  </w:r>
                </w:p>
              </w:tc>
              <w:tc>
                <w:tcPr>
                  <w:tcW w:w="11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sz w:val="21"/>
                      <w:szCs w:val="21"/>
                      <w:lang w:val="en-US" w:eastAsia="zh-CN"/>
                    </w:rPr>
                    <w:t>0.0675</w:t>
                  </w:r>
                </w:p>
              </w:tc>
              <w:tc>
                <w:tcPr>
                  <w:tcW w:w="107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sz w:val="21"/>
                      <w:szCs w:val="21"/>
                      <w:lang w:val="en-US" w:eastAsia="zh-CN"/>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51" w:type="pct"/>
                  <w:gridSpan w:val="2"/>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有组织排放总计</w:t>
                  </w:r>
                </w:p>
              </w:tc>
              <w:tc>
                <w:tcPr>
                  <w:tcW w:w="2876" w:type="pct"/>
                  <w:gridSpan w:val="3"/>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非甲烷总烃</w:t>
                  </w:r>
                </w:p>
              </w:tc>
              <w:tc>
                <w:tcPr>
                  <w:tcW w:w="107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sz w:val="21"/>
                      <w:szCs w:val="21"/>
                      <w:lang w:val="en-US" w:eastAsia="zh-CN"/>
                    </w:rPr>
                    <w:t>0.162</w:t>
                  </w:r>
                </w:p>
              </w:tc>
            </w:tr>
          </w:tbl>
          <w:p>
            <w:pPr>
              <w:pStyle w:val="2"/>
              <w:keepNext w:val="0"/>
              <w:keepLines w:val="0"/>
              <w:pageBreakBefore w:val="0"/>
              <w:widowControl w:val="0"/>
              <w:kinsoku/>
              <w:wordWrap/>
              <w:overflowPunct/>
              <w:topLinePunct w:val="0"/>
              <w:autoSpaceDE w:val="0"/>
              <w:autoSpaceDN w:val="0"/>
              <w:bidi w:val="0"/>
              <w:adjustRightInd w:val="0"/>
              <w:snapToGrid w:val="0"/>
              <w:spacing w:line="240" w:lineRule="auto"/>
              <w:ind w:firstLine="482" w:firstLineChars="200"/>
              <w:jc w:val="center"/>
              <w:textAlignment w:val="auto"/>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
                <w:bCs w:val="0"/>
                <w:color w:val="auto"/>
                <w:kern w:val="0"/>
                <w:sz w:val="24"/>
                <w:szCs w:val="24"/>
                <w:highlight w:val="none"/>
                <w:lang w:val="en-US" w:eastAsia="zh-CN" w:bidi="ar-SA"/>
              </w:rPr>
              <w:t>表</w:t>
            </w:r>
            <w:r>
              <w:rPr>
                <w:rFonts w:hint="eastAsia" w:ascii="Times New Roman" w:hAnsi="Times New Roman" w:eastAsia="仿宋" w:cs="Times New Roman"/>
                <w:b/>
                <w:bCs w:val="0"/>
                <w:color w:val="auto"/>
                <w:kern w:val="0"/>
                <w:sz w:val="24"/>
                <w:szCs w:val="24"/>
                <w:highlight w:val="none"/>
                <w:lang w:val="en-US" w:eastAsia="zh-CN" w:bidi="ar-SA"/>
              </w:rPr>
              <w:t>4-13</w:t>
            </w:r>
            <w:r>
              <w:rPr>
                <w:rFonts w:hint="default" w:ascii="Times New Roman" w:hAnsi="Times New Roman" w:eastAsia="仿宋" w:cs="Times New Roman"/>
                <w:b/>
                <w:bCs w:val="0"/>
                <w:color w:val="auto"/>
                <w:kern w:val="0"/>
                <w:sz w:val="24"/>
                <w:szCs w:val="24"/>
                <w:highlight w:val="none"/>
                <w:lang w:val="en-US" w:eastAsia="zh-CN" w:bidi="ar-SA"/>
              </w:rPr>
              <w:t xml:space="preserve"> 大气污染无组织排放量核算表</w:t>
            </w:r>
          </w:p>
          <w:tbl>
            <w:tblPr>
              <w:tblStyle w:val="1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468"/>
              <w:gridCol w:w="570"/>
              <w:gridCol w:w="904"/>
              <w:gridCol w:w="872"/>
              <w:gridCol w:w="686"/>
              <w:gridCol w:w="2364"/>
              <w:gridCol w:w="1507"/>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18" w:hRule="atLeast"/>
                <w:jc w:val="center"/>
              </w:trPr>
              <w:tc>
                <w:tcPr>
                  <w:tcW w:w="27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33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排放口编号</w:t>
                  </w:r>
                </w:p>
              </w:tc>
              <w:tc>
                <w:tcPr>
                  <w:tcW w:w="53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产污环节</w:t>
                  </w:r>
                </w:p>
              </w:tc>
              <w:tc>
                <w:tcPr>
                  <w:tcW w:w="51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w:t>
                  </w:r>
                </w:p>
              </w:tc>
              <w:tc>
                <w:tcPr>
                  <w:tcW w:w="40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主要污染防治措施</w:t>
                  </w:r>
                </w:p>
              </w:tc>
              <w:tc>
                <w:tcPr>
                  <w:tcW w:w="2281"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国家或地方污染物标准</w:t>
                  </w:r>
                </w:p>
              </w:tc>
              <w:tc>
                <w:tcPr>
                  <w:tcW w:w="65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59" w:hRule="atLeast"/>
                <w:jc w:val="center"/>
              </w:trPr>
              <w:tc>
                <w:tcPr>
                  <w:tcW w:w="27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33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53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51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40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c>
                <w:tcPr>
                  <w:tcW w:w="139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标准名称</w:t>
                  </w:r>
                </w:p>
              </w:tc>
              <w:tc>
                <w:tcPr>
                  <w:tcW w:w="88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浓度限值（mg/m</w:t>
                  </w:r>
                  <w:r>
                    <w:rPr>
                      <w:rFonts w:hint="default" w:ascii="Times New Roman" w:hAnsi="Times New Roman" w:eastAsia="仿宋" w:cs="Times New Roman"/>
                      <w:b/>
                      <w:color w:val="auto"/>
                      <w:sz w:val="21"/>
                      <w:szCs w:val="21"/>
                      <w:highlight w:val="none"/>
                      <w:vertAlign w:val="superscript"/>
                    </w:rPr>
                    <w:t>3</w:t>
                  </w:r>
                  <w:r>
                    <w:rPr>
                      <w:rFonts w:hint="default" w:ascii="Times New Roman" w:hAnsi="Times New Roman" w:eastAsia="仿宋" w:cs="Times New Roman"/>
                      <w:b/>
                      <w:color w:val="auto"/>
                      <w:sz w:val="21"/>
                      <w:szCs w:val="21"/>
                      <w:highlight w:val="none"/>
                    </w:rPr>
                    <w:t>）</w:t>
                  </w:r>
                </w:p>
              </w:tc>
              <w:tc>
                <w:tcPr>
                  <w:tcW w:w="65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7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1</w:t>
                  </w:r>
                </w:p>
              </w:tc>
              <w:tc>
                <w:tcPr>
                  <w:tcW w:w="33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生产车间</w:t>
                  </w:r>
                </w:p>
              </w:tc>
              <w:tc>
                <w:tcPr>
                  <w:tcW w:w="53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淬火、回火</w:t>
                  </w:r>
                </w:p>
              </w:tc>
              <w:tc>
                <w:tcPr>
                  <w:tcW w:w="513"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非甲烷总烃</w:t>
                  </w:r>
                </w:p>
              </w:tc>
              <w:tc>
                <w:tcPr>
                  <w:tcW w:w="40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加强车间通风</w:t>
                  </w:r>
                </w:p>
              </w:tc>
              <w:tc>
                <w:tcPr>
                  <w:tcW w:w="139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rPr>
                    <w:t>《大气污染物综合排放标准》（</w:t>
                  </w:r>
                  <w:r>
                    <w:rPr>
                      <w:rFonts w:hint="eastAsia" w:eastAsia="仿宋" w:cs="Times New Roman"/>
                      <w:bCs/>
                      <w:color w:val="auto"/>
                      <w:sz w:val="21"/>
                      <w:szCs w:val="21"/>
                      <w:highlight w:val="none"/>
                      <w:lang w:eastAsia="zh-CN"/>
                    </w:rPr>
                    <w:t>DB32/4041-2021</w:t>
                  </w:r>
                  <w:r>
                    <w:rPr>
                      <w:rFonts w:hint="default" w:ascii="Times New Roman" w:hAnsi="Times New Roman" w:eastAsia="仿宋" w:cs="Times New Roman"/>
                      <w:bCs/>
                      <w:color w:val="auto"/>
                      <w:sz w:val="21"/>
                      <w:szCs w:val="21"/>
                      <w:highlight w:val="none"/>
                    </w:rPr>
                    <w:t>）表2中</w:t>
                  </w:r>
                  <w:r>
                    <w:rPr>
                      <w:rFonts w:hint="default" w:ascii="Times New Roman" w:hAnsi="Times New Roman" w:eastAsia="仿宋" w:cs="Times New Roman"/>
                      <w:bCs/>
                      <w:color w:val="auto"/>
                      <w:sz w:val="21"/>
                      <w:szCs w:val="21"/>
                      <w:highlight w:val="none"/>
                      <w:lang w:val="en-US" w:eastAsia="zh-CN"/>
                    </w:rPr>
                    <w:t>无组织排放</w:t>
                  </w:r>
                  <w:r>
                    <w:rPr>
                      <w:rFonts w:hint="default" w:ascii="Times New Roman" w:hAnsi="Times New Roman" w:eastAsia="仿宋" w:cs="Times New Roman"/>
                      <w:bCs/>
                      <w:color w:val="auto"/>
                      <w:sz w:val="21"/>
                      <w:szCs w:val="21"/>
                      <w:highlight w:val="none"/>
                    </w:rPr>
                    <w:t>标准限值</w:t>
                  </w:r>
                </w:p>
              </w:tc>
              <w:tc>
                <w:tcPr>
                  <w:tcW w:w="88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4.0</w:t>
                  </w:r>
                </w:p>
              </w:tc>
              <w:tc>
                <w:tcPr>
                  <w:tcW w:w="6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color w:val="auto"/>
                      <w:kern w:val="2"/>
                      <w:sz w:val="21"/>
                      <w:szCs w:val="21"/>
                      <w:u w:val="none"/>
                      <w:lang w:val="en-US" w:eastAsia="zh-CN" w:bidi="ar-SA"/>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659"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无组织排放总计</w:t>
                  </w:r>
                </w:p>
              </w:tc>
              <w:tc>
                <w:tcPr>
                  <w:tcW w:w="1797" w:type="pct"/>
                  <w:gridSpan w:val="2"/>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非甲烷总烃</w:t>
                  </w:r>
                </w:p>
              </w:tc>
              <w:tc>
                <w:tcPr>
                  <w:tcW w:w="154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i w:val="0"/>
                      <w:color w:val="auto"/>
                      <w:kern w:val="0"/>
                      <w:sz w:val="21"/>
                      <w:szCs w:val="21"/>
                      <w:u w:val="none"/>
                      <w:lang w:val="en-US" w:eastAsia="zh-CN" w:bidi="ar"/>
                    </w:rPr>
                    <w:t>0.18</w:t>
                  </w:r>
                </w:p>
              </w:tc>
            </w:tr>
          </w:tbl>
          <w:p>
            <w:pPr>
              <w:ind w:firstLine="482"/>
              <w:jc w:val="center"/>
              <w:rPr>
                <w:rFonts w:hint="default" w:ascii="Times New Roman" w:hAnsi="Times New Roman" w:eastAsia="仿宋" w:cs="Times New Roman"/>
                <w:b/>
                <w:color w:val="auto"/>
                <w:sz w:val="24"/>
                <w:szCs w:val="24"/>
                <w:highlight w:val="none"/>
                <w:lang w:val="en-US" w:eastAsia="zh-CN"/>
              </w:rPr>
            </w:pPr>
            <w:r>
              <w:rPr>
                <w:rFonts w:hint="default" w:ascii="Times New Roman" w:hAnsi="Times New Roman" w:eastAsia="仿宋" w:cs="Times New Roman"/>
                <w:b/>
                <w:color w:val="auto"/>
                <w:sz w:val="24"/>
                <w:szCs w:val="24"/>
                <w:highlight w:val="none"/>
              </w:rPr>
              <w:t>表</w:t>
            </w:r>
            <w:r>
              <w:rPr>
                <w:rFonts w:hint="eastAsia" w:ascii="Times New Roman" w:hAnsi="Times New Roman" w:eastAsia="仿宋" w:cs="Times New Roman"/>
                <w:b/>
                <w:color w:val="auto"/>
                <w:sz w:val="24"/>
                <w:szCs w:val="24"/>
                <w:highlight w:val="none"/>
                <w:lang w:val="en-US" w:eastAsia="zh-CN"/>
              </w:rPr>
              <w:t>4-14</w:t>
            </w:r>
            <w:r>
              <w:rPr>
                <w:rFonts w:hint="default" w:ascii="Times New Roman" w:hAnsi="Times New Roman" w:eastAsia="仿宋" w:cs="Times New Roman"/>
                <w:b/>
                <w:color w:val="auto"/>
                <w:sz w:val="24"/>
                <w:szCs w:val="24"/>
                <w:highlight w:val="none"/>
              </w:rPr>
              <w:t xml:space="preserve"> 大气污染物年排放量核算表</w:t>
            </w:r>
            <w:r>
              <w:rPr>
                <w:rFonts w:hint="default" w:ascii="Times New Roman" w:hAnsi="Times New Roman" w:eastAsia="仿宋" w:cs="Times New Roman"/>
                <w:b/>
                <w:color w:val="auto"/>
                <w:sz w:val="24"/>
                <w:szCs w:val="24"/>
                <w:highlight w:val="none"/>
                <w:lang w:val="en-US" w:eastAsia="zh-CN"/>
              </w:rPr>
              <w:t xml:space="preserve"> 单位 t/a</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413"/>
              <w:gridCol w:w="2830"/>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pct"/>
                  <w:tcBorders>
                    <w:tl2br w:val="nil"/>
                    <w:tr2bl w:val="nil"/>
                  </w:tcBorders>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832" w:type="pct"/>
                  <w:tcBorders>
                    <w:tl2br w:val="nil"/>
                    <w:tr2bl w:val="nil"/>
                  </w:tcBorders>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类型</w:t>
                  </w:r>
                </w:p>
              </w:tc>
              <w:tc>
                <w:tcPr>
                  <w:tcW w:w="1666" w:type="pct"/>
                  <w:tcBorders>
                    <w:tl2br w:val="nil"/>
                    <w:tr2bl w:val="nil"/>
                  </w:tcBorders>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w:t>
                  </w:r>
                </w:p>
              </w:tc>
              <w:tc>
                <w:tcPr>
                  <w:tcW w:w="1667" w:type="pct"/>
                  <w:tcBorders>
                    <w:tl2br w:val="nil"/>
                    <w:tr2bl w:val="nil"/>
                  </w:tcBorders>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rPr>
                    <w:t>年排放量</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lang w:val="en-US" w:eastAsia="zh-CN"/>
                    </w:rPr>
                    <w:t>t/a</w:t>
                  </w:r>
                  <w:r>
                    <w:rPr>
                      <w:rFonts w:hint="default" w:ascii="Times New Roman" w:hAnsi="Times New Roman" w:eastAsia="仿宋" w:cs="Times New Roman"/>
                      <w:b/>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pct"/>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1</w:t>
                  </w:r>
                </w:p>
              </w:tc>
              <w:tc>
                <w:tcPr>
                  <w:tcW w:w="832" w:type="pct"/>
                  <w:tcBorders>
                    <w:tl2br w:val="nil"/>
                    <w:tr2bl w:val="nil"/>
                  </w:tcBorders>
                  <w:vAlign w:val="center"/>
                </w:tcPr>
                <w:p>
                  <w:pPr>
                    <w:adjustRightInd w:val="0"/>
                    <w:snapToGrid w:val="0"/>
                    <w:spacing w:line="240" w:lineRule="atLeast"/>
                    <w:ind w:firstLine="0" w:firstLineChars="0"/>
                    <w:jc w:val="center"/>
                    <w:rPr>
                      <w:rFonts w:hint="eastAsia"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有组织</w:t>
                  </w:r>
                </w:p>
              </w:tc>
              <w:tc>
                <w:tcPr>
                  <w:tcW w:w="1666" w:type="pct"/>
                  <w:tcBorders>
                    <w:tl2br w:val="nil"/>
                    <w:tr2bl w:val="nil"/>
                  </w:tcBorders>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非甲烷总烃</w:t>
                  </w:r>
                </w:p>
              </w:tc>
              <w:tc>
                <w:tcPr>
                  <w:tcW w:w="16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pct"/>
                  <w:tcBorders>
                    <w:tl2br w:val="nil"/>
                    <w:tr2bl w:val="nil"/>
                  </w:tcBorders>
                  <w:vAlign w:val="center"/>
                </w:tcPr>
                <w:p>
                  <w:pPr>
                    <w:adjustRightInd w:val="0"/>
                    <w:snapToGrid w:val="0"/>
                    <w:spacing w:line="240" w:lineRule="atLeast"/>
                    <w:ind w:firstLine="0" w:firstLineChars="0"/>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2</w:t>
                  </w:r>
                </w:p>
              </w:tc>
              <w:tc>
                <w:tcPr>
                  <w:tcW w:w="832" w:type="pct"/>
                  <w:tcBorders>
                    <w:tl2br w:val="nil"/>
                    <w:tr2bl w:val="nil"/>
                  </w:tcBorders>
                  <w:vAlign w:val="center"/>
                </w:tcPr>
                <w:p>
                  <w:pPr>
                    <w:adjustRightInd w:val="0"/>
                    <w:snapToGrid w:val="0"/>
                    <w:spacing w:line="240" w:lineRule="atLeast"/>
                    <w:ind w:firstLine="0" w:firstLineChars="0"/>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无组织</w:t>
                  </w:r>
                </w:p>
              </w:tc>
              <w:tc>
                <w:tcPr>
                  <w:tcW w:w="1666" w:type="pct"/>
                  <w:tcBorders>
                    <w:tl2br w:val="nil"/>
                    <w:tr2bl w:val="nil"/>
                  </w:tcBorders>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非甲烷总烃</w:t>
                  </w:r>
                </w:p>
              </w:tc>
              <w:tc>
                <w:tcPr>
                  <w:tcW w:w="16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eastAsia="仿宋" w:cs="Times New Roman"/>
                      <w:i w:val="0"/>
                      <w:color w:val="000000"/>
                      <w:kern w:val="0"/>
                      <w:sz w:val="21"/>
                      <w:szCs w:val="21"/>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pct"/>
                  <w:tcBorders>
                    <w:tl2br w:val="nil"/>
                    <w:tr2bl w:val="nil"/>
                  </w:tcBorders>
                  <w:vAlign w:val="center"/>
                </w:tcPr>
                <w:p>
                  <w:pPr>
                    <w:adjustRightInd w:val="0"/>
                    <w:snapToGrid w:val="0"/>
                    <w:spacing w:line="240" w:lineRule="atLeast"/>
                    <w:ind w:firstLine="0" w:firstLineChars="0"/>
                    <w:jc w:val="center"/>
                    <w:rPr>
                      <w:rFonts w:hint="eastAsia" w:ascii="Times New Roman" w:hAnsi="Times New Roman" w:eastAsia="仿宋" w:cs="Times New Roman"/>
                      <w:bCs/>
                      <w:color w:val="auto"/>
                      <w:kern w:val="2"/>
                      <w:sz w:val="21"/>
                      <w:szCs w:val="21"/>
                      <w:highlight w:val="none"/>
                      <w:lang w:val="en-US" w:eastAsia="zh-CN" w:bidi="ar-SA"/>
                    </w:rPr>
                  </w:pPr>
                  <w:r>
                    <w:rPr>
                      <w:rFonts w:hint="eastAsia" w:eastAsia="仿宋" w:cs="Times New Roman"/>
                      <w:bCs/>
                      <w:color w:val="auto"/>
                      <w:sz w:val="21"/>
                      <w:szCs w:val="21"/>
                      <w:highlight w:val="none"/>
                      <w:lang w:val="en-US" w:eastAsia="zh-CN"/>
                    </w:rPr>
                    <w:t>3</w:t>
                  </w:r>
                </w:p>
              </w:tc>
              <w:tc>
                <w:tcPr>
                  <w:tcW w:w="832" w:type="pct"/>
                  <w:tcBorders>
                    <w:tl2br w:val="nil"/>
                    <w:tr2bl w:val="nil"/>
                  </w:tcBorders>
                  <w:vAlign w:val="center"/>
                </w:tcPr>
                <w:p>
                  <w:pPr>
                    <w:adjustRightInd w:val="0"/>
                    <w:snapToGrid w:val="0"/>
                    <w:spacing w:line="240" w:lineRule="atLeast"/>
                    <w:ind w:firstLine="0" w:firstLineChars="0"/>
                    <w:jc w:val="center"/>
                    <w:rPr>
                      <w:rFonts w:hint="default" w:ascii="Times New Roman" w:hAnsi="Times New Roman" w:eastAsia="仿宋" w:cs="Times New Roman"/>
                      <w:bCs/>
                      <w:color w:val="auto"/>
                      <w:sz w:val="21"/>
                      <w:szCs w:val="21"/>
                      <w:highlight w:val="none"/>
                      <w:lang w:val="en-US"/>
                    </w:rPr>
                  </w:pPr>
                  <w:r>
                    <w:rPr>
                      <w:rFonts w:hint="eastAsia" w:eastAsia="仿宋" w:cs="Times New Roman"/>
                      <w:bCs/>
                      <w:color w:val="auto"/>
                      <w:sz w:val="21"/>
                      <w:szCs w:val="21"/>
                      <w:highlight w:val="none"/>
                      <w:lang w:val="en-US" w:eastAsia="zh-CN"/>
                    </w:rPr>
                    <w:t>合计</w:t>
                  </w:r>
                </w:p>
              </w:tc>
              <w:tc>
                <w:tcPr>
                  <w:tcW w:w="1666" w:type="pct"/>
                  <w:tcBorders>
                    <w:tl2br w:val="nil"/>
                    <w:tr2bl w:val="nil"/>
                  </w:tcBorders>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非甲烷总烃</w:t>
                  </w:r>
                </w:p>
              </w:tc>
              <w:tc>
                <w:tcPr>
                  <w:tcW w:w="16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0.342</w:t>
                  </w:r>
                </w:p>
              </w:tc>
            </w:tr>
          </w:tbl>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eastAsia" w:ascii="Times New Roman" w:hAnsi="Times New Roman" w:eastAsia="仿宋" w:cs="Times New Roman"/>
                <w:bCs/>
                <w:color w:val="auto"/>
                <w:kern w:val="0"/>
                <w:sz w:val="24"/>
                <w:szCs w:val="24"/>
                <w:highlight w:val="none"/>
                <w:lang w:val="en-US" w:eastAsia="zh-CN" w:bidi="ar-SA"/>
              </w:rPr>
              <w:t>③</w:t>
            </w:r>
            <w:r>
              <w:rPr>
                <w:rFonts w:hint="default" w:ascii="Times New Roman" w:hAnsi="Times New Roman" w:eastAsia="仿宋" w:cs="Times New Roman"/>
                <w:bCs/>
                <w:color w:val="auto"/>
                <w:kern w:val="0"/>
                <w:sz w:val="24"/>
                <w:szCs w:val="24"/>
                <w:highlight w:val="none"/>
                <w:lang w:val="en-US" w:eastAsia="zh-CN" w:bidi="ar-SA"/>
              </w:rPr>
              <w:t>大气环境防护距离</w:t>
            </w:r>
          </w:p>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Cs/>
                <w:color w:val="auto"/>
                <w:kern w:val="0"/>
                <w:sz w:val="24"/>
                <w:szCs w:val="24"/>
                <w:highlight w:val="none"/>
                <w:lang w:val="en-US" w:eastAsia="zh-CN" w:bidi="ar-SA"/>
              </w:rPr>
              <w:t>本项目大气污染物非甲烷总烃下风向最大占标率均小于相应环境质量标准的10%，且厂界外大气污染物短期贡献浓度不超过环境质量浓度限值，因此本项目无需设大气环境防护距离。</w:t>
            </w:r>
          </w:p>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eastAsia" w:ascii="Times New Roman" w:hAnsi="Times New Roman" w:eastAsia="仿宋" w:cs="Times New Roman"/>
                <w:bCs/>
                <w:color w:val="auto"/>
                <w:kern w:val="0"/>
                <w:sz w:val="24"/>
                <w:szCs w:val="24"/>
                <w:highlight w:val="none"/>
                <w:lang w:val="en-US" w:eastAsia="zh-CN" w:bidi="ar-SA"/>
              </w:rPr>
              <w:t>④</w:t>
            </w:r>
            <w:r>
              <w:rPr>
                <w:rFonts w:hint="default" w:ascii="Times New Roman" w:hAnsi="Times New Roman" w:eastAsia="仿宋" w:cs="Times New Roman"/>
                <w:bCs/>
                <w:color w:val="auto"/>
                <w:kern w:val="0"/>
                <w:sz w:val="24"/>
                <w:szCs w:val="24"/>
                <w:highlight w:val="none"/>
                <w:lang w:val="en-US" w:eastAsia="zh-CN" w:bidi="ar-SA"/>
              </w:rPr>
              <w:t>卫生防护距离计算结果见下表：</w:t>
            </w:r>
          </w:p>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Cs/>
                <w:color w:val="auto"/>
                <w:kern w:val="0"/>
                <w:sz w:val="24"/>
                <w:szCs w:val="24"/>
                <w:highlight w:val="none"/>
                <w:lang w:val="en-US" w:eastAsia="zh-CN" w:bidi="ar-SA"/>
              </w:rPr>
              <w:t>根据《大气有害物质无组织排放卫生防护距离推导技术导则》</w:t>
            </w:r>
            <w:r>
              <w:rPr>
                <w:rFonts w:hint="eastAsia" w:ascii="Times New Roman" w:hAnsi="Times New Roman" w:eastAsia="仿宋" w:cs="Times New Roman"/>
                <w:bCs/>
                <w:color w:val="auto"/>
                <w:kern w:val="0"/>
                <w:sz w:val="24"/>
                <w:szCs w:val="24"/>
                <w:highlight w:val="none"/>
                <w:lang w:val="en-US" w:eastAsia="zh-CN" w:bidi="ar-SA"/>
              </w:rPr>
              <w:t>（</w:t>
            </w:r>
            <w:r>
              <w:rPr>
                <w:rFonts w:hint="default" w:ascii="Times New Roman" w:hAnsi="Times New Roman" w:eastAsia="仿宋" w:cs="Times New Roman"/>
                <w:bCs/>
                <w:color w:val="auto"/>
                <w:kern w:val="0"/>
                <w:sz w:val="24"/>
                <w:szCs w:val="24"/>
                <w:highlight w:val="none"/>
                <w:lang w:val="en-US" w:eastAsia="zh-CN" w:bidi="ar-SA"/>
              </w:rPr>
              <w:t>GB/T39499-2</w:t>
            </w:r>
            <w:r>
              <w:rPr>
                <w:rFonts w:hint="eastAsia" w:ascii="Times New Roman" w:hAnsi="Times New Roman" w:eastAsia="仿宋" w:cs="Times New Roman"/>
                <w:bCs/>
                <w:color w:val="auto"/>
                <w:kern w:val="0"/>
                <w:sz w:val="24"/>
                <w:szCs w:val="24"/>
                <w:highlight w:val="none"/>
                <w:lang w:val="en-US" w:eastAsia="zh-CN" w:bidi="ar-SA"/>
              </w:rPr>
              <w:t xml:space="preserve"> </w:t>
            </w:r>
            <w:r>
              <w:rPr>
                <w:rFonts w:hint="default" w:ascii="Times New Roman" w:hAnsi="Times New Roman" w:eastAsia="仿宋" w:cs="Times New Roman"/>
                <w:bCs/>
                <w:color w:val="auto"/>
                <w:kern w:val="0"/>
                <w:sz w:val="24"/>
                <w:szCs w:val="24"/>
                <w:highlight w:val="none"/>
                <w:lang w:val="en-US" w:eastAsia="zh-CN" w:bidi="ar-SA"/>
              </w:rPr>
              <w:t>020</w:t>
            </w:r>
            <w:r>
              <w:rPr>
                <w:rFonts w:hint="eastAsia" w:ascii="Times New Roman" w:hAnsi="Times New Roman" w:eastAsia="仿宋" w:cs="Times New Roman"/>
                <w:bCs/>
                <w:color w:val="auto"/>
                <w:kern w:val="0"/>
                <w:sz w:val="24"/>
                <w:szCs w:val="24"/>
                <w:highlight w:val="none"/>
                <w:lang w:val="en-US" w:eastAsia="zh-CN" w:bidi="ar-SA"/>
              </w:rPr>
              <w:t>）</w:t>
            </w:r>
            <w:r>
              <w:rPr>
                <w:rFonts w:hint="default" w:ascii="Times New Roman" w:hAnsi="Times New Roman" w:eastAsia="仿宋" w:cs="Times New Roman"/>
                <w:bCs/>
                <w:color w:val="auto"/>
                <w:kern w:val="0"/>
                <w:sz w:val="24"/>
                <w:szCs w:val="24"/>
                <w:highlight w:val="none"/>
                <w:lang w:val="en-US" w:eastAsia="zh-CN" w:bidi="ar-SA"/>
              </w:rPr>
              <w:t>中的工业企业卫生防护距离的制定方法确定企业的卫生防护距离，卫生防护距离计算公式：</w:t>
            </w:r>
          </w:p>
          <w:p>
            <w:pPr>
              <w:pStyle w:val="2"/>
              <w:spacing w:line="360" w:lineRule="auto"/>
              <w:ind w:firstLine="480" w:firstLineChars="200"/>
              <w:jc w:val="center"/>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Cs/>
                <w:color w:val="auto"/>
                <w:kern w:val="0"/>
                <w:sz w:val="24"/>
                <w:szCs w:val="24"/>
                <w:highlight w:val="none"/>
                <w:lang w:val="en-US" w:eastAsia="zh-CN" w:bidi="ar-SA"/>
              </w:rPr>
              <w:drawing>
                <wp:inline distT="0" distB="0" distL="114300" distR="114300">
                  <wp:extent cx="2295525" cy="447675"/>
                  <wp:effectExtent l="0" t="0" r="0" b="8255"/>
                  <wp:docPr id="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7"/>
                          <pic:cNvPicPr>
                            <a:picLocks noChangeAspect="1" noChangeArrowheads="1"/>
                          </pic:cNvPicPr>
                        </pic:nvPicPr>
                        <pic:blipFill>
                          <a:blip r:embed="rId17"/>
                          <a:srcRect/>
                          <a:stretch>
                            <a:fillRect/>
                          </a:stretch>
                        </pic:blipFill>
                        <pic:spPr>
                          <a:xfrm>
                            <a:off x="0" y="0"/>
                            <a:ext cx="2295525" cy="447675"/>
                          </a:xfrm>
                          <a:prstGeom prst="rect">
                            <a:avLst/>
                          </a:prstGeom>
                          <a:noFill/>
                          <a:ln w="9525">
                            <a:noFill/>
                            <a:miter lim="800000"/>
                            <a:headEnd/>
                            <a:tailEnd/>
                          </a:ln>
                          <a:effectLst/>
                        </pic:spPr>
                      </pic:pic>
                    </a:graphicData>
                  </a:graphic>
                </wp:inline>
              </w:drawing>
            </w:r>
          </w:p>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Cs/>
                <w:color w:val="auto"/>
                <w:kern w:val="0"/>
                <w:sz w:val="24"/>
                <w:szCs w:val="24"/>
                <w:highlight w:val="none"/>
                <w:lang w:val="en-US" w:eastAsia="zh-CN" w:bidi="ar-SA"/>
              </w:rPr>
              <w:t>式中：Cm——标准浓度限值，mg/m</w:t>
            </w:r>
            <w:r>
              <w:rPr>
                <w:rFonts w:hint="default" w:ascii="Times New Roman" w:hAnsi="Times New Roman" w:eastAsia="仿宋" w:cs="Times New Roman"/>
                <w:bCs/>
                <w:color w:val="auto"/>
                <w:kern w:val="0"/>
                <w:sz w:val="24"/>
                <w:szCs w:val="24"/>
                <w:highlight w:val="none"/>
                <w:vertAlign w:val="superscript"/>
                <w:lang w:val="en-US" w:eastAsia="zh-CN" w:bidi="ar-SA"/>
              </w:rPr>
              <w:t>3</w:t>
            </w:r>
            <w:r>
              <w:rPr>
                <w:rFonts w:hint="default" w:ascii="Times New Roman" w:hAnsi="Times New Roman" w:eastAsia="仿宋" w:cs="Times New Roman"/>
                <w:bCs/>
                <w:color w:val="auto"/>
                <w:kern w:val="0"/>
                <w:sz w:val="24"/>
                <w:szCs w:val="24"/>
                <w:highlight w:val="none"/>
                <w:lang w:val="en-US" w:eastAsia="zh-CN" w:bidi="ar-SA"/>
              </w:rPr>
              <w:t>；</w:t>
            </w:r>
          </w:p>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Cs/>
                <w:color w:val="auto"/>
                <w:kern w:val="0"/>
                <w:sz w:val="24"/>
                <w:szCs w:val="24"/>
                <w:highlight w:val="none"/>
                <w:lang w:val="en-US" w:eastAsia="zh-CN" w:bidi="ar-SA"/>
              </w:rPr>
              <w:t>Qc——工业企业有害气体无组织排放量可以达到的控制水平，kg/h；</w:t>
            </w:r>
          </w:p>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Cs/>
                <w:color w:val="auto"/>
                <w:kern w:val="0"/>
                <w:sz w:val="24"/>
                <w:szCs w:val="24"/>
                <w:highlight w:val="none"/>
                <w:lang w:val="en-US" w:eastAsia="zh-CN" w:bidi="ar-SA"/>
              </w:rPr>
              <w:t>r——有害气体无组织排放源所在生产单元的等效半径，m；</w:t>
            </w:r>
          </w:p>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Cs/>
                <w:color w:val="auto"/>
                <w:kern w:val="0"/>
                <w:sz w:val="24"/>
                <w:szCs w:val="24"/>
                <w:highlight w:val="none"/>
                <w:lang w:val="en-US" w:eastAsia="zh-CN" w:bidi="ar-SA"/>
              </w:rPr>
              <w:t>L——工业企业所需的卫生防护距离，m；</w:t>
            </w:r>
          </w:p>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Cs/>
                <w:color w:val="auto"/>
                <w:kern w:val="0"/>
                <w:sz w:val="24"/>
                <w:szCs w:val="24"/>
                <w:highlight w:val="none"/>
                <w:lang w:val="en-US" w:eastAsia="zh-CN" w:bidi="ar-SA"/>
              </w:rPr>
              <w:t>A、B、C、D——卫生防护距离计算系数，见</w:t>
            </w:r>
            <w:r>
              <w:rPr>
                <w:rFonts w:hint="eastAsia" w:ascii="Times New Roman" w:hAnsi="Times New Roman" w:eastAsia="仿宋" w:cs="Times New Roman"/>
                <w:bCs/>
                <w:color w:val="auto"/>
                <w:kern w:val="0"/>
                <w:sz w:val="24"/>
                <w:szCs w:val="24"/>
                <w:highlight w:val="none"/>
                <w:lang w:val="en-US" w:eastAsia="zh-CN" w:bidi="ar-SA"/>
              </w:rPr>
              <w:t>下表</w:t>
            </w:r>
            <w:r>
              <w:rPr>
                <w:rFonts w:hint="default" w:ascii="Times New Roman" w:hAnsi="Times New Roman" w:eastAsia="仿宋" w:cs="Times New Roman"/>
                <w:bCs/>
                <w:color w:val="auto"/>
                <w:kern w:val="0"/>
                <w:sz w:val="24"/>
                <w:szCs w:val="24"/>
                <w:highlight w:val="none"/>
                <w:lang w:val="en-US" w:eastAsia="zh-CN" w:bidi="ar-SA"/>
              </w:rPr>
              <w:t>。</w:t>
            </w:r>
          </w:p>
          <w:p>
            <w:pPr>
              <w:widowControl/>
              <w:ind w:firstLine="482" w:firstLineChars="0"/>
              <w:jc w:val="center"/>
              <w:rPr>
                <w:rFonts w:hint="default" w:ascii="Times New Roman" w:hAnsi="Times New Roman" w:eastAsia="仿宋" w:cs="Times New Roman"/>
                <w:b/>
                <w:color w:val="auto"/>
                <w:kern w:val="0"/>
                <w:sz w:val="24"/>
                <w:szCs w:val="24"/>
                <w:highlight w:val="none"/>
              </w:rPr>
            </w:pPr>
            <w:r>
              <w:rPr>
                <w:rFonts w:hint="default" w:ascii="Times New Roman" w:hAnsi="Times New Roman" w:eastAsia="仿宋" w:cs="Times New Roman"/>
                <w:b/>
                <w:color w:val="auto"/>
                <w:kern w:val="0"/>
                <w:sz w:val="24"/>
                <w:szCs w:val="24"/>
                <w:highlight w:val="none"/>
              </w:rPr>
              <w:t>表</w:t>
            </w:r>
            <w:r>
              <w:rPr>
                <w:rFonts w:hint="default" w:ascii="Times New Roman" w:hAnsi="Times New Roman" w:eastAsia="仿宋" w:cs="Times New Roman"/>
                <w:b/>
                <w:color w:val="auto"/>
                <w:kern w:val="0"/>
                <w:sz w:val="24"/>
                <w:szCs w:val="24"/>
                <w:highlight w:val="none"/>
                <w:lang w:val="en-US" w:eastAsia="zh-CN"/>
              </w:rPr>
              <w:t>4-16</w:t>
            </w:r>
            <w:r>
              <w:rPr>
                <w:rFonts w:hint="default" w:ascii="Times New Roman" w:hAnsi="Times New Roman" w:eastAsia="仿宋" w:cs="Times New Roman"/>
                <w:b/>
                <w:color w:val="auto"/>
                <w:kern w:val="0"/>
                <w:sz w:val="24"/>
                <w:szCs w:val="24"/>
                <w:highlight w:val="none"/>
              </w:rPr>
              <w:t xml:space="preserve"> 卫生防护距离计算系数</w:t>
            </w:r>
          </w:p>
          <w:tbl>
            <w:tblPr>
              <w:tblStyle w:val="1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15"/>
              <w:gridCol w:w="953"/>
              <w:gridCol w:w="716"/>
              <w:gridCol w:w="718"/>
              <w:gridCol w:w="717"/>
              <w:gridCol w:w="709"/>
              <w:gridCol w:w="710"/>
              <w:gridCol w:w="709"/>
              <w:gridCol w:w="710"/>
              <w:gridCol w:w="710"/>
              <w:gridCol w:w="7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5" w:type="dxa"/>
                  <w:vMerge w:val="restart"/>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计算系数</w:t>
                  </w:r>
                </w:p>
              </w:tc>
              <w:tc>
                <w:tcPr>
                  <w:tcW w:w="953" w:type="dxa"/>
                  <w:vMerge w:val="restart"/>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5年平均风速（m/s）</w:t>
                  </w:r>
                </w:p>
              </w:tc>
              <w:tc>
                <w:tcPr>
                  <w:tcW w:w="6409" w:type="dxa"/>
                  <w:gridSpan w:val="9"/>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卫生防护距离L(m)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5" w:type="dxa"/>
                  <w:vMerge w:val="continue"/>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p>
              </w:tc>
              <w:tc>
                <w:tcPr>
                  <w:tcW w:w="953" w:type="dxa"/>
                  <w:vMerge w:val="continue"/>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p>
              </w:tc>
              <w:tc>
                <w:tcPr>
                  <w:tcW w:w="2151"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L≤1000</w:t>
                  </w:r>
                </w:p>
              </w:tc>
              <w:tc>
                <w:tcPr>
                  <w:tcW w:w="2128"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1000＜L≤2000</w:t>
                  </w:r>
                </w:p>
              </w:tc>
              <w:tc>
                <w:tcPr>
                  <w:tcW w:w="2130"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L＞2000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5" w:type="dxa"/>
                  <w:vMerge w:val="continue"/>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p>
              </w:tc>
              <w:tc>
                <w:tcPr>
                  <w:tcW w:w="953" w:type="dxa"/>
                  <w:vMerge w:val="continue"/>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p>
              </w:tc>
              <w:tc>
                <w:tcPr>
                  <w:tcW w:w="6409" w:type="dxa"/>
                  <w:gridSpan w:val="9"/>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工业大气污染源构成类别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5" w:type="dxa"/>
                  <w:vMerge w:val="continue"/>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p>
              </w:tc>
              <w:tc>
                <w:tcPr>
                  <w:tcW w:w="953" w:type="dxa"/>
                  <w:vMerge w:val="continue"/>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p>
              </w:tc>
              <w:tc>
                <w:tcPr>
                  <w:tcW w:w="716"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Ⅰ</w:t>
                  </w:r>
                </w:p>
              </w:tc>
              <w:tc>
                <w:tcPr>
                  <w:tcW w:w="718"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Ⅱ</w:t>
                  </w:r>
                </w:p>
              </w:tc>
              <w:tc>
                <w:tcPr>
                  <w:tcW w:w="717"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Ⅲ</w:t>
                  </w:r>
                </w:p>
              </w:tc>
              <w:tc>
                <w:tcPr>
                  <w:tcW w:w="709"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Ⅰ</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Ⅱ</w:t>
                  </w:r>
                </w:p>
              </w:tc>
              <w:tc>
                <w:tcPr>
                  <w:tcW w:w="709"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Ⅲ</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Ⅰ</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Ⅱ</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5" w:type="dxa"/>
                  <w:vMerge w:val="restart"/>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A</w:t>
                  </w:r>
                </w:p>
              </w:tc>
              <w:tc>
                <w:tcPr>
                  <w:tcW w:w="953"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716"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400</w:t>
                  </w:r>
                </w:p>
              </w:tc>
              <w:tc>
                <w:tcPr>
                  <w:tcW w:w="718"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400</w:t>
                  </w:r>
                </w:p>
              </w:tc>
              <w:tc>
                <w:tcPr>
                  <w:tcW w:w="717"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400</w:t>
                  </w:r>
                </w:p>
              </w:tc>
              <w:tc>
                <w:tcPr>
                  <w:tcW w:w="709"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400</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400</w:t>
                  </w:r>
                </w:p>
              </w:tc>
              <w:tc>
                <w:tcPr>
                  <w:tcW w:w="709"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400</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80</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80</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5" w:type="dxa"/>
                  <w:vMerge w:val="continue"/>
                  <w:tcBorders>
                    <w:tl2br w:val="nil"/>
                    <w:tr2bl w:val="nil"/>
                  </w:tcBorders>
                  <w:shd w:val="clear" w:color="auto" w:fill="auto"/>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p>
              </w:tc>
              <w:tc>
                <w:tcPr>
                  <w:tcW w:w="953" w:type="dxa"/>
                  <w:tcBorders>
                    <w:tl2br w:val="nil"/>
                    <w:tr2bl w:val="nil"/>
                  </w:tcBorders>
                  <w:shd w:val="clear" w:color="auto" w:fill="auto"/>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2～4</w:t>
                  </w:r>
                </w:p>
              </w:tc>
              <w:tc>
                <w:tcPr>
                  <w:tcW w:w="716" w:type="dxa"/>
                  <w:tcBorders>
                    <w:tl2br w:val="nil"/>
                    <w:tr2bl w:val="nil"/>
                  </w:tcBorders>
                  <w:shd w:val="clear" w:color="auto" w:fill="auto"/>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700</w:t>
                  </w:r>
                </w:p>
              </w:tc>
              <w:tc>
                <w:tcPr>
                  <w:tcW w:w="718" w:type="dxa"/>
                  <w:tcBorders>
                    <w:tl2br w:val="nil"/>
                    <w:tr2bl w:val="nil"/>
                  </w:tcBorders>
                  <w:shd w:val="clear" w:color="auto" w:fill="auto"/>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470</w:t>
                  </w:r>
                </w:p>
              </w:tc>
              <w:tc>
                <w:tcPr>
                  <w:tcW w:w="717"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350</w:t>
                  </w:r>
                </w:p>
              </w:tc>
              <w:tc>
                <w:tcPr>
                  <w:tcW w:w="709"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700</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470</w:t>
                  </w:r>
                </w:p>
              </w:tc>
              <w:tc>
                <w:tcPr>
                  <w:tcW w:w="709"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350</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380</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250</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5" w:type="dxa"/>
                  <w:vMerge w:val="continue"/>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p>
              </w:tc>
              <w:tc>
                <w:tcPr>
                  <w:tcW w:w="953"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w:t>
                  </w:r>
                </w:p>
              </w:tc>
              <w:tc>
                <w:tcPr>
                  <w:tcW w:w="716"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530</w:t>
                  </w:r>
                </w:p>
              </w:tc>
              <w:tc>
                <w:tcPr>
                  <w:tcW w:w="718" w:type="dxa"/>
                  <w:tcBorders>
                    <w:tl2br w:val="nil"/>
                    <w:tr2bl w:val="nil"/>
                  </w:tcBorders>
                  <w:shd w:val="clear" w:color="auto" w:fill="A4A4A4" w:themeFill="background1" w:themeFillShade="A5"/>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350</w:t>
                  </w:r>
                </w:p>
              </w:tc>
              <w:tc>
                <w:tcPr>
                  <w:tcW w:w="717"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260</w:t>
                  </w:r>
                </w:p>
              </w:tc>
              <w:tc>
                <w:tcPr>
                  <w:tcW w:w="709"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530</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350</w:t>
                  </w:r>
                </w:p>
              </w:tc>
              <w:tc>
                <w:tcPr>
                  <w:tcW w:w="709"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260</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290</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190</w:t>
                  </w:r>
                </w:p>
              </w:tc>
              <w:tc>
                <w:tcPr>
                  <w:tcW w:w="710"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5" w:type="dxa"/>
                  <w:vMerge w:val="restart"/>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B</w:t>
                  </w:r>
                </w:p>
              </w:tc>
              <w:tc>
                <w:tcPr>
                  <w:tcW w:w="953"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2151"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0.01</w:t>
                  </w:r>
                </w:p>
              </w:tc>
              <w:tc>
                <w:tcPr>
                  <w:tcW w:w="2128"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0.015</w:t>
                  </w:r>
                </w:p>
              </w:tc>
              <w:tc>
                <w:tcPr>
                  <w:tcW w:w="2130"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0.015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5" w:type="dxa"/>
                  <w:vMerge w:val="continue"/>
                  <w:tcBorders>
                    <w:tl2br w:val="nil"/>
                    <w:tr2bl w:val="nil"/>
                  </w:tcBorders>
                  <w:shd w:val="clear" w:color="auto" w:fill="auto"/>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p>
              </w:tc>
              <w:tc>
                <w:tcPr>
                  <w:tcW w:w="953" w:type="dxa"/>
                  <w:tcBorders>
                    <w:tl2br w:val="nil"/>
                    <w:tr2bl w:val="nil"/>
                  </w:tcBorders>
                  <w:shd w:val="clear" w:color="auto" w:fill="auto"/>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2151" w:type="dxa"/>
                  <w:gridSpan w:val="3"/>
                  <w:tcBorders>
                    <w:tl2br w:val="nil"/>
                    <w:tr2bl w:val="nil"/>
                  </w:tcBorders>
                  <w:shd w:val="clear" w:color="auto" w:fill="BFBFBF"/>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0.021</w:t>
                  </w:r>
                </w:p>
              </w:tc>
              <w:tc>
                <w:tcPr>
                  <w:tcW w:w="2128"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0.036</w:t>
                  </w:r>
                </w:p>
              </w:tc>
              <w:tc>
                <w:tcPr>
                  <w:tcW w:w="2130"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0.036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5" w:type="dxa"/>
                  <w:vMerge w:val="restart"/>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C</w:t>
                  </w:r>
                </w:p>
              </w:tc>
              <w:tc>
                <w:tcPr>
                  <w:tcW w:w="953"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2151"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1.85</w:t>
                  </w:r>
                </w:p>
              </w:tc>
              <w:tc>
                <w:tcPr>
                  <w:tcW w:w="2128"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1.79</w:t>
                  </w:r>
                </w:p>
              </w:tc>
              <w:tc>
                <w:tcPr>
                  <w:tcW w:w="2130"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1.79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5" w:type="dxa"/>
                  <w:vMerge w:val="continue"/>
                  <w:tcBorders>
                    <w:tl2br w:val="nil"/>
                    <w:tr2bl w:val="nil"/>
                  </w:tcBorders>
                  <w:shd w:val="clear" w:color="auto" w:fill="auto"/>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p>
              </w:tc>
              <w:tc>
                <w:tcPr>
                  <w:tcW w:w="953" w:type="dxa"/>
                  <w:tcBorders>
                    <w:tl2br w:val="nil"/>
                    <w:tr2bl w:val="nil"/>
                  </w:tcBorders>
                  <w:shd w:val="clear" w:color="auto" w:fill="auto"/>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2151" w:type="dxa"/>
                  <w:gridSpan w:val="3"/>
                  <w:tcBorders>
                    <w:tl2br w:val="nil"/>
                    <w:tr2bl w:val="nil"/>
                  </w:tcBorders>
                  <w:shd w:val="clear" w:color="auto" w:fill="BFBFBF"/>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1.85</w:t>
                  </w:r>
                </w:p>
              </w:tc>
              <w:tc>
                <w:tcPr>
                  <w:tcW w:w="2128"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1.77</w:t>
                  </w:r>
                </w:p>
              </w:tc>
              <w:tc>
                <w:tcPr>
                  <w:tcW w:w="2130"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5" w:type="dxa"/>
                  <w:vMerge w:val="restart"/>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D</w:t>
                  </w:r>
                </w:p>
              </w:tc>
              <w:tc>
                <w:tcPr>
                  <w:tcW w:w="953" w:type="dxa"/>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2151"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0.78</w:t>
                  </w:r>
                </w:p>
              </w:tc>
              <w:tc>
                <w:tcPr>
                  <w:tcW w:w="2128"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0.78</w:t>
                  </w:r>
                </w:p>
              </w:tc>
              <w:tc>
                <w:tcPr>
                  <w:tcW w:w="2130"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5" w:type="dxa"/>
                  <w:vMerge w:val="continue"/>
                  <w:tcBorders>
                    <w:tl2br w:val="nil"/>
                    <w:tr2bl w:val="nil"/>
                  </w:tcBorders>
                  <w:shd w:val="clear" w:color="auto" w:fill="auto"/>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p>
              </w:tc>
              <w:tc>
                <w:tcPr>
                  <w:tcW w:w="953" w:type="dxa"/>
                  <w:tcBorders>
                    <w:tl2br w:val="nil"/>
                    <w:tr2bl w:val="nil"/>
                  </w:tcBorders>
                  <w:shd w:val="clear" w:color="auto" w:fill="auto"/>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2151" w:type="dxa"/>
                  <w:gridSpan w:val="3"/>
                  <w:tcBorders>
                    <w:tl2br w:val="nil"/>
                    <w:tr2bl w:val="nil"/>
                  </w:tcBorders>
                  <w:shd w:val="clear" w:color="auto" w:fill="BFBFBF"/>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0.84</w:t>
                  </w:r>
                </w:p>
              </w:tc>
              <w:tc>
                <w:tcPr>
                  <w:tcW w:w="2128"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0.84</w:t>
                  </w:r>
                </w:p>
              </w:tc>
              <w:tc>
                <w:tcPr>
                  <w:tcW w:w="2130" w:type="dxa"/>
                  <w:gridSpan w:val="3"/>
                  <w:tcBorders>
                    <w:tl2br w:val="nil"/>
                    <w:tr2bl w:val="nil"/>
                  </w:tcBorders>
                  <w:vAlign w:val="center"/>
                </w:tcPr>
                <w:p>
                  <w:pPr>
                    <w:widowControl/>
                    <w:snapToGrid w:val="0"/>
                    <w:spacing w:line="320" w:lineRule="atLeast"/>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0.76</w:t>
                  </w:r>
                </w:p>
              </w:tc>
            </w:tr>
          </w:tbl>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Cs/>
                <w:color w:val="auto"/>
                <w:kern w:val="0"/>
                <w:sz w:val="24"/>
                <w:szCs w:val="24"/>
                <w:highlight w:val="none"/>
                <w:lang w:val="en-US" w:eastAsia="zh-CN" w:bidi="ar-SA"/>
              </w:rPr>
              <w:t>《大气有害物质无组织排放卫生防护距离推导技术导则》</w:t>
            </w:r>
            <w:r>
              <w:rPr>
                <w:rFonts w:hint="eastAsia" w:ascii="Times New Roman" w:hAnsi="Times New Roman" w:eastAsia="仿宋" w:cs="Times New Roman"/>
                <w:bCs/>
                <w:color w:val="auto"/>
                <w:kern w:val="0"/>
                <w:sz w:val="24"/>
                <w:szCs w:val="24"/>
                <w:highlight w:val="none"/>
                <w:lang w:val="en-US" w:eastAsia="zh-CN" w:bidi="ar-SA"/>
              </w:rPr>
              <w:t>（</w:t>
            </w:r>
            <w:r>
              <w:rPr>
                <w:rFonts w:hint="default" w:ascii="Times New Roman" w:hAnsi="Times New Roman" w:eastAsia="仿宋" w:cs="Times New Roman"/>
                <w:bCs/>
                <w:color w:val="auto"/>
                <w:kern w:val="0"/>
                <w:sz w:val="24"/>
                <w:szCs w:val="24"/>
                <w:highlight w:val="none"/>
                <w:lang w:val="en-US" w:eastAsia="zh-CN" w:bidi="ar-SA"/>
              </w:rPr>
              <w:t>GB/T39499-2</w:t>
            </w:r>
            <w:r>
              <w:rPr>
                <w:rFonts w:hint="eastAsia" w:ascii="Times New Roman" w:hAnsi="Times New Roman" w:eastAsia="仿宋" w:cs="Times New Roman"/>
                <w:bCs/>
                <w:color w:val="auto"/>
                <w:kern w:val="0"/>
                <w:sz w:val="24"/>
                <w:szCs w:val="24"/>
                <w:highlight w:val="none"/>
                <w:lang w:val="en-US" w:eastAsia="zh-CN" w:bidi="ar-SA"/>
              </w:rPr>
              <w:t xml:space="preserve"> </w:t>
            </w:r>
            <w:r>
              <w:rPr>
                <w:rFonts w:hint="default" w:ascii="Times New Roman" w:hAnsi="Times New Roman" w:eastAsia="仿宋" w:cs="Times New Roman"/>
                <w:bCs/>
                <w:color w:val="auto"/>
                <w:kern w:val="0"/>
                <w:sz w:val="24"/>
                <w:szCs w:val="24"/>
                <w:highlight w:val="none"/>
                <w:lang w:val="en-US" w:eastAsia="zh-CN" w:bidi="ar-SA"/>
              </w:rPr>
              <w:t>020</w:t>
            </w:r>
            <w:r>
              <w:rPr>
                <w:rFonts w:hint="eastAsia" w:ascii="Times New Roman" w:hAnsi="Times New Roman" w:eastAsia="仿宋" w:cs="Times New Roman"/>
                <w:bCs/>
                <w:color w:val="auto"/>
                <w:kern w:val="0"/>
                <w:sz w:val="24"/>
                <w:szCs w:val="24"/>
                <w:highlight w:val="none"/>
                <w:lang w:val="en-US" w:eastAsia="zh-CN" w:bidi="ar-SA"/>
              </w:rPr>
              <w:t>）</w:t>
            </w:r>
            <w:r>
              <w:rPr>
                <w:rFonts w:hint="default" w:ascii="Times New Roman" w:hAnsi="Times New Roman" w:eastAsia="仿宋" w:cs="Times New Roman"/>
                <w:bCs/>
                <w:color w:val="auto"/>
                <w:kern w:val="0"/>
                <w:sz w:val="24"/>
                <w:szCs w:val="24"/>
                <w:highlight w:val="none"/>
                <w:lang w:val="en-US" w:eastAsia="zh-CN" w:bidi="ar-SA"/>
              </w:rPr>
              <w:t>中的工业企业卫生防护距离公式进行计算，卫生防护距离所用参数和计算结果见</w:t>
            </w:r>
            <w:r>
              <w:rPr>
                <w:rFonts w:hint="eastAsia" w:ascii="Times New Roman" w:hAnsi="Times New Roman" w:eastAsia="仿宋" w:cs="Times New Roman"/>
                <w:bCs/>
                <w:color w:val="auto"/>
                <w:kern w:val="0"/>
                <w:sz w:val="24"/>
                <w:szCs w:val="24"/>
                <w:highlight w:val="none"/>
                <w:lang w:val="en-US" w:eastAsia="zh-CN" w:bidi="ar-SA"/>
              </w:rPr>
              <w:t>下表</w:t>
            </w:r>
            <w:r>
              <w:rPr>
                <w:rFonts w:hint="default" w:ascii="Times New Roman" w:hAnsi="Times New Roman" w:eastAsia="仿宋" w:cs="Times New Roman"/>
                <w:bCs/>
                <w:color w:val="auto"/>
                <w:kern w:val="0"/>
                <w:sz w:val="24"/>
                <w:szCs w:val="24"/>
                <w:highlight w:val="none"/>
                <w:lang w:val="en-US" w:eastAsia="zh-CN" w:bidi="ar-SA"/>
              </w:rPr>
              <w:t>。</w:t>
            </w:r>
          </w:p>
          <w:p>
            <w:pPr>
              <w:widowControl/>
              <w:spacing w:line="240" w:lineRule="auto"/>
              <w:ind w:firstLine="482" w:firstLineChars="0"/>
              <w:jc w:val="center"/>
              <w:rPr>
                <w:rFonts w:hint="default" w:ascii="Times New Roman" w:hAnsi="Times New Roman" w:eastAsia="仿宋" w:cs="Times New Roman"/>
                <w:b/>
                <w:color w:val="auto"/>
                <w:kern w:val="0"/>
                <w:sz w:val="24"/>
                <w:szCs w:val="24"/>
                <w:highlight w:val="none"/>
              </w:rPr>
            </w:pPr>
            <w:r>
              <w:rPr>
                <w:rFonts w:hint="default" w:ascii="Times New Roman" w:hAnsi="Times New Roman" w:eastAsia="仿宋" w:cs="Times New Roman"/>
                <w:b/>
                <w:color w:val="auto"/>
                <w:kern w:val="0"/>
                <w:sz w:val="24"/>
                <w:szCs w:val="24"/>
                <w:highlight w:val="none"/>
              </w:rPr>
              <w:t>表</w:t>
            </w:r>
            <w:r>
              <w:rPr>
                <w:rFonts w:hint="default" w:ascii="Times New Roman" w:hAnsi="Times New Roman" w:eastAsia="仿宋" w:cs="Times New Roman"/>
                <w:b/>
                <w:color w:val="auto"/>
                <w:kern w:val="0"/>
                <w:sz w:val="24"/>
                <w:szCs w:val="24"/>
                <w:highlight w:val="none"/>
                <w:lang w:val="en-US" w:eastAsia="zh-CN"/>
              </w:rPr>
              <w:t>4-17</w:t>
            </w:r>
            <w:r>
              <w:rPr>
                <w:rFonts w:hint="default" w:ascii="Times New Roman" w:hAnsi="Times New Roman" w:eastAsia="仿宋" w:cs="Times New Roman"/>
                <w:b/>
                <w:color w:val="auto"/>
                <w:kern w:val="0"/>
                <w:sz w:val="24"/>
                <w:szCs w:val="24"/>
                <w:highlight w:val="none"/>
              </w:rPr>
              <w:t xml:space="preserve"> 卫生防护距离计算参数和结果表</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1033"/>
              <w:gridCol w:w="1063"/>
              <w:gridCol w:w="934"/>
              <w:gridCol w:w="1156"/>
              <w:gridCol w:w="1267"/>
              <w:gridCol w:w="1044"/>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blHeader/>
                <w:jc w:val="center"/>
              </w:trPr>
              <w:tc>
                <w:tcPr>
                  <w:tcW w:w="1085" w:type="dxa"/>
                  <w:vMerge w:val="restart"/>
                  <w:noWrap w:val="0"/>
                  <w:vAlign w:val="center"/>
                </w:tcPr>
                <w:p>
                  <w:pPr>
                    <w:widowControl/>
                    <w:snapToGrid w:val="0"/>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污染面源</w:t>
                  </w:r>
                </w:p>
              </w:tc>
              <w:tc>
                <w:tcPr>
                  <w:tcW w:w="1033" w:type="dxa"/>
                  <w:vMerge w:val="restart"/>
                  <w:noWrap w:val="0"/>
                  <w:vAlign w:val="center"/>
                </w:tcPr>
                <w:p>
                  <w:pPr>
                    <w:widowControl/>
                    <w:snapToGrid w:val="0"/>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污染物名称</w:t>
                  </w:r>
                </w:p>
              </w:tc>
              <w:tc>
                <w:tcPr>
                  <w:tcW w:w="1063" w:type="dxa"/>
                  <w:vMerge w:val="restart"/>
                  <w:noWrap w:val="0"/>
                  <w:vAlign w:val="center"/>
                </w:tcPr>
                <w:p>
                  <w:pPr>
                    <w:widowControl/>
                    <w:snapToGrid w:val="0"/>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排放速率</w:t>
                  </w:r>
                </w:p>
                <w:p>
                  <w:pPr>
                    <w:widowControl/>
                    <w:snapToGrid w:val="0"/>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（kg/h）</w:t>
                  </w:r>
                </w:p>
              </w:tc>
              <w:tc>
                <w:tcPr>
                  <w:tcW w:w="2090" w:type="dxa"/>
                  <w:gridSpan w:val="2"/>
                  <w:noWrap w:val="0"/>
                  <w:vAlign w:val="center"/>
                </w:tcPr>
                <w:p>
                  <w:pPr>
                    <w:widowControl/>
                    <w:snapToGrid w:val="0"/>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排放源参数</w:t>
                  </w:r>
                </w:p>
              </w:tc>
              <w:tc>
                <w:tcPr>
                  <w:tcW w:w="1267" w:type="dxa"/>
                  <w:vMerge w:val="restart"/>
                  <w:noWrap w:val="0"/>
                  <w:vAlign w:val="center"/>
                </w:tcPr>
                <w:p>
                  <w:pPr>
                    <w:widowControl/>
                    <w:snapToGrid w:val="0"/>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评价标准</w:t>
                  </w:r>
                </w:p>
                <w:p>
                  <w:pPr>
                    <w:widowControl/>
                    <w:snapToGrid w:val="0"/>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（mg/m</w:t>
                  </w:r>
                  <w:r>
                    <w:rPr>
                      <w:rFonts w:hint="default" w:ascii="Times New Roman" w:hAnsi="Times New Roman" w:eastAsia="仿宋" w:cs="Times New Roman"/>
                      <w:b/>
                      <w:bCs/>
                      <w:color w:val="auto"/>
                      <w:kern w:val="0"/>
                      <w:sz w:val="21"/>
                      <w:szCs w:val="21"/>
                      <w:highlight w:val="none"/>
                      <w:vertAlign w:val="superscript"/>
                    </w:rPr>
                    <w:t>3</w:t>
                  </w:r>
                  <w:r>
                    <w:rPr>
                      <w:rFonts w:hint="default" w:ascii="Times New Roman" w:hAnsi="Times New Roman" w:eastAsia="仿宋" w:cs="Times New Roman"/>
                      <w:b/>
                      <w:bCs/>
                      <w:color w:val="auto"/>
                      <w:kern w:val="0"/>
                      <w:sz w:val="21"/>
                      <w:szCs w:val="21"/>
                      <w:highlight w:val="none"/>
                    </w:rPr>
                    <w:t>）</w:t>
                  </w:r>
                </w:p>
              </w:tc>
              <w:tc>
                <w:tcPr>
                  <w:tcW w:w="1044" w:type="dxa"/>
                  <w:vMerge w:val="restart"/>
                  <w:noWrap w:val="0"/>
                  <w:vAlign w:val="center"/>
                </w:tcPr>
                <w:p>
                  <w:pPr>
                    <w:widowControl/>
                    <w:snapToGrid w:val="0"/>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kern w:val="0"/>
                      <w:sz w:val="21"/>
                      <w:szCs w:val="21"/>
                      <w:highlight w:val="none"/>
                    </w:rPr>
                    <w:t>卫生防护距离计算值(m)</w:t>
                  </w:r>
                </w:p>
              </w:tc>
              <w:tc>
                <w:tcPr>
                  <w:tcW w:w="915" w:type="dxa"/>
                  <w:vMerge w:val="restart"/>
                  <w:noWrap w:val="0"/>
                  <w:vAlign w:val="center"/>
                </w:tcPr>
                <w:p>
                  <w:pPr>
                    <w:widowControl/>
                    <w:snapToGrid w:val="0"/>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kern w:val="0"/>
                      <w:sz w:val="21"/>
                      <w:szCs w:val="21"/>
                      <w:highlight w:val="none"/>
                    </w:rPr>
                    <w:t>卫生防护距离定值(m)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blHeader/>
                <w:jc w:val="center"/>
              </w:trPr>
              <w:tc>
                <w:tcPr>
                  <w:tcW w:w="1085" w:type="dxa"/>
                  <w:vMerge w:val="continue"/>
                  <w:noWrap w:val="0"/>
                  <w:vAlign w:val="center"/>
                </w:tcPr>
                <w:p>
                  <w:pPr>
                    <w:widowControl/>
                    <w:spacing w:line="240" w:lineRule="auto"/>
                    <w:ind w:firstLine="420"/>
                    <w:jc w:val="left"/>
                    <w:rPr>
                      <w:rFonts w:hint="default" w:ascii="Times New Roman" w:hAnsi="Times New Roman" w:eastAsia="仿宋" w:cs="Times New Roman"/>
                      <w:color w:val="auto"/>
                      <w:kern w:val="0"/>
                      <w:sz w:val="21"/>
                      <w:szCs w:val="21"/>
                      <w:highlight w:val="none"/>
                    </w:rPr>
                  </w:pPr>
                </w:p>
              </w:tc>
              <w:tc>
                <w:tcPr>
                  <w:tcW w:w="1033" w:type="dxa"/>
                  <w:vMerge w:val="continue"/>
                  <w:noWrap w:val="0"/>
                  <w:vAlign w:val="center"/>
                </w:tcPr>
                <w:p>
                  <w:pPr>
                    <w:widowControl/>
                    <w:spacing w:line="240" w:lineRule="auto"/>
                    <w:ind w:firstLine="420"/>
                    <w:jc w:val="left"/>
                    <w:rPr>
                      <w:rFonts w:hint="default" w:ascii="Times New Roman" w:hAnsi="Times New Roman" w:eastAsia="仿宋" w:cs="Times New Roman"/>
                      <w:color w:val="auto"/>
                      <w:kern w:val="0"/>
                      <w:sz w:val="21"/>
                      <w:szCs w:val="21"/>
                      <w:highlight w:val="none"/>
                    </w:rPr>
                  </w:pPr>
                </w:p>
              </w:tc>
              <w:tc>
                <w:tcPr>
                  <w:tcW w:w="1063" w:type="dxa"/>
                  <w:vMerge w:val="continue"/>
                  <w:noWrap w:val="0"/>
                  <w:vAlign w:val="center"/>
                </w:tcPr>
                <w:p>
                  <w:pPr>
                    <w:widowControl/>
                    <w:spacing w:line="240" w:lineRule="auto"/>
                    <w:ind w:firstLine="420"/>
                    <w:jc w:val="left"/>
                    <w:rPr>
                      <w:rFonts w:hint="default" w:ascii="Times New Roman" w:hAnsi="Times New Roman" w:eastAsia="仿宋" w:cs="Times New Roman"/>
                      <w:color w:val="auto"/>
                      <w:kern w:val="0"/>
                      <w:sz w:val="21"/>
                      <w:szCs w:val="21"/>
                      <w:highlight w:val="none"/>
                    </w:rPr>
                  </w:pPr>
                </w:p>
              </w:tc>
              <w:tc>
                <w:tcPr>
                  <w:tcW w:w="934" w:type="dxa"/>
                  <w:noWrap w:val="0"/>
                  <w:vAlign w:val="center"/>
                </w:tcPr>
                <w:p>
                  <w:pPr>
                    <w:widowControl/>
                    <w:snapToGrid w:val="0"/>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高度（m）</w:t>
                  </w:r>
                </w:p>
              </w:tc>
              <w:tc>
                <w:tcPr>
                  <w:tcW w:w="1156" w:type="dxa"/>
                  <w:noWrap w:val="0"/>
                  <w:vAlign w:val="center"/>
                </w:tcPr>
                <w:p>
                  <w:pPr>
                    <w:widowControl/>
                    <w:snapToGrid w:val="0"/>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面积（m</w:t>
                  </w:r>
                  <w:r>
                    <w:rPr>
                      <w:rFonts w:hint="default" w:ascii="Times New Roman" w:hAnsi="Times New Roman" w:eastAsia="仿宋" w:cs="Times New Roman"/>
                      <w:b/>
                      <w:bCs/>
                      <w:color w:val="auto"/>
                      <w:kern w:val="0"/>
                      <w:sz w:val="21"/>
                      <w:szCs w:val="21"/>
                      <w:highlight w:val="none"/>
                      <w:vertAlign w:val="superscript"/>
                    </w:rPr>
                    <w:t>2</w:t>
                  </w:r>
                  <w:r>
                    <w:rPr>
                      <w:rFonts w:hint="default" w:ascii="Times New Roman" w:hAnsi="Times New Roman" w:eastAsia="仿宋" w:cs="Times New Roman"/>
                      <w:b/>
                      <w:bCs/>
                      <w:color w:val="auto"/>
                      <w:kern w:val="0"/>
                      <w:sz w:val="21"/>
                      <w:szCs w:val="21"/>
                      <w:highlight w:val="none"/>
                    </w:rPr>
                    <w:t>）</w:t>
                  </w:r>
                </w:p>
              </w:tc>
              <w:tc>
                <w:tcPr>
                  <w:tcW w:w="1267" w:type="dxa"/>
                  <w:vMerge w:val="continue"/>
                  <w:noWrap w:val="0"/>
                  <w:vAlign w:val="center"/>
                </w:tcPr>
                <w:p>
                  <w:pPr>
                    <w:widowControl/>
                    <w:spacing w:line="240" w:lineRule="auto"/>
                    <w:ind w:firstLine="420"/>
                    <w:jc w:val="left"/>
                    <w:rPr>
                      <w:rFonts w:hint="default" w:ascii="Times New Roman" w:hAnsi="Times New Roman" w:eastAsia="仿宋" w:cs="Times New Roman"/>
                      <w:color w:val="auto"/>
                      <w:kern w:val="0"/>
                      <w:sz w:val="21"/>
                      <w:szCs w:val="21"/>
                      <w:highlight w:val="none"/>
                    </w:rPr>
                  </w:pPr>
                </w:p>
              </w:tc>
              <w:tc>
                <w:tcPr>
                  <w:tcW w:w="1044" w:type="dxa"/>
                  <w:vMerge w:val="continue"/>
                  <w:noWrap w:val="0"/>
                  <w:vAlign w:val="center"/>
                </w:tcPr>
                <w:p>
                  <w:pPr>
                    <w:widowControl/>
                    <w:spacing w:line="240" w:lineRule="auto"/>
                    <w:ind w:firstLine="420"/>
                    <w:jc w:val="left"/>
                    <w:rPr>
                      <w:rFonts w:hint="default" w:ascii="Times New Roman" w:hAnsi="Times New Roman" w:eastAsia="仿宋" w:cs="Times New Roman"/>
                      <w:color w:val="auto"/>
                      <w:kern w:val="0"/>
                      <w:sz w:val="21"/>
                      <w:szCs w:val="21"/>
                      <w:highlight w:val="none"/>
                    </w:rPr>
                  </w:pPr>
                </w:p>
              </w:tc>
              <w:tc>
                <w:tcPr>
                  <w:tcW w:w="915" w:type="dxa"/>
                  <w:vMerge w:val="continue"/>
                  <w:noWrap w:val="0"/>
                  <w:vAlign w:val="center"/>
                </w:tcPr>
                <w:p>
                  <w:pPr>
                    <w:widowControl/>
                    <w:spacing w:line="240" w:lineRule="auto"/>
                    <w:ind w:firstLine="420"/>
                    <w:jc w:val="left"/>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tblHeader/>
                <w:jc w:val="center"/>
              </w:trPr>
              <w:tc>
                <w:tcPr>
                  <w:tcW w:w="1085" w:type="dxa"/>
                  <w:tcBorders>
                    <w:top w:val="single" w:color="000000" w:sz="4" w:space="0"/>
                    <w:bottom w:val="single" w:color="000000" w:sz="4" w:space="0"/>
                  </w:tcBorders>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rPr>
                    <w:t>生产车间</w:t>
                  </w:r>
                </w:p>
              </w:tc>
              <w:tc>
                <w:tcPr>
                  <w:tcW w:w="1033"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非甲烷总烃</w:t>
                  </w:r>
                </w:p>
              </w:tc>
              <w:tc>
                <w:tcPr>
                  <w:tcW w:w="1063"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0.075</w:t>
                  </w:r>
                </w:p>
              </w:tc>
              <w:tc>
                <w:tcPr>
                  <w:tcW w:w="934"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w:t>
                  </w:r>
                </w:p>
              </w:tc>
              <w:tc>
                <w:tcPr>
                  <w:tcW w:w="1156"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800</w:t>
                  </w:r>
                </w:p>
              </w:tc>
              <w:tc>
                <w:tcPr>
                  <w:tcW w:w="1267" w:type="dxa"/>
                  <w:noWrap w:val="0"/>
                  <w:vAlign w:val="center"/>
                </w:tcPr>
                <w:p>
                  <w:pPr>
                    <w:widowControl/>
                    <w:spacing w:line="240" w:lineRule="auto"/>
                    <w:ind w:firstLine="420"/>
                    <w:jc w:val="left"/>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2.0</w:t>
                  </w:r>
                </w:p>
              </w:tc>
              <w:tc>
                <w:tcPr>
                  <w:tcW w:w="1044"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2.566</w:t>
                  </w:r>
                </w:p>
              </w:tc>
              <w:tc>
                <w:tcPr>
                  <w:tcW w:w="915" w:type="dxa"/>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50</w:t>
                  </w:r>
                </w:p>
              </w:tc>
            </w:tr>
          </w:tbl>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Cs/>
                <w:color w:val="auto"/>
                <w:kern w:val="0"/>
                <w:sz w:val="24"/>
                <w:szCs w:val="24"/>
                <w:highlight w:val="none"/>
                <w:lang w:val="en-US" w:eastAsia="zh-CN" w:bidi="ar-SA"/>
              </w:rPr>
              <w:t>根据《大气有害物质无组织排放卫生防护距离推导技术导则》</w:t>
            </w:r>
            <w:r>
              <w:rPr>
                <w:rFonts w:hint="eastAsia" w:ascii="Times New Roman" w:hAnsi="Times New Roman" w:eastAsia="仿宋" w:cs="Times New Roman"/>
                <w:bCs/>
                <w:color w:val="auto"/>
                <w:kern w:val="0"/>
                <w:sz w:val="24"/>
                <w:szCs w:val="24"/>
                <w:highlight w:val="none"/>
                <w:lang w:val="en-US" w:eastAsia="zh-CN" w:bidi="ar-SA"/>
              </w:rPr>
              <w:t>（</w:t>
            </w:r>
            <w:r>
              <w:rPr>
                <w:rFonts w:hint="default" w:ascii="Times New Roman" w:hAnsi="Times New Roman" w:eastAsia="仿宋" w:cs="Times New Roman"/>
                <w:bCs/>
                <w:color w:val="auto"/>
                <w:kern w:val="0"/>
                <w:sz w:val="24"/>
                <w:szCs w:val="24"/>
                <w:highlight w:val="none"/>
                <w:lang w:val="en-US" w:eastAsia="zh-CN" w:bidi="ar-SA"/>
              </w:rPr>
              <w:t>GB/T39499-2</w:t>
            </w:r>
            <w:r>
              <w:rPr>
                <w:rFonts w:hint="eastAsia" w:ascii="Times New Roman" w:hAnsi="Times New Roman" w:eastAsia="仿宋" w:cs="Times New Roman"/>
                <w:bCs/>
                <w:color w:val="auto"/>
                <w:kern w:val="0"/>
                <w:sz w:val="24"/>
                <w:szCs w:val="24"/>
                <w:highlight w:val="none"/>
                <w:lang w:val="en-US" w:eastAsia="zh-CN" w:bidi="ar-SA"/>
              </w:rPr>
              <w:t xml:space="preserve"> </w:t>
            </w:r>
            <w:r>
              <w:rPr>
                <w:rFonts w:hint="default" w:ascii="Times New Roman" w:hAnsi="Times New Roman" w:eastAsia="仿宋" w:cs="Times New Roman"/>
                <w:bCs/>
                <w:color w:val="auto"/>
                <w:kern w:val="0"/>
                <w:sz w:val="24"/>
                <w:szCs w:val="24"/>
                <w:highlight w:val="none"/>
                <w:lang w:val="en-US" w:eastAsia="zh-CN" w:bidi="ar-SA"/>
              </w:rPr>
              <w:t>020</w:t>
            </w:r>
            <w:r>
              <w:rPr>
                <w:rFonts w:hint="eastAsia" w:ascii="Times New Roman" w:hAnsi="Times New Roman" w:eastAsia="仿宋" w:cs="Times New Roman"/>
                <w:bCs/>
                <w:color w:val="auto"/>
                <w:kern w:val="0"/>
                <w:sz w:val="24"/>
                <w:szCs w:val="24"/>
                <w:highlight w:val="none"/>
                <w:lang w:val="en-US" w:eastAsia="zh-CN" w:bidi="ar-SA"/>
              </w:rPr>
              <w:t>）</w:t>
            </w:r>
            <w:r>
              <w:rPr>
                <w:rFonts w:hint="default" w:ascii="Times New Roman" w:hAnsi="Times New Roman" w:eastAsia="仿宋" w:cs="Times New Roman"/>
                <w:bCs/>
                <w:color w:val="auto"/>
                <w:kern w:val="0"/>
                <w:sz w:val="24"/>
                <w:szCs w:val="24"/>
                <w:highlight w:val="none"/>
                <w:lang w:val="en-US" w:eastAsia="zh-CN" w:bidi="ar-SA"/>
              </w:rPr>
              <w:t>，卫生防护距离在100米以内时，级差为50米；超过100米，但小于或等于1000米时，级差为100米；超过1000米时，级差为200米。当按两种或两种以上的有害气体计算的卫生防护距离在同一级别时，该类工业企业的卫生防护距离级别应提高一级。</w:t>
            </w:r>
          </w:p>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Cs/>
                <w:color w:val="auto"/>
                <w:kern w:val="0"/>
                <w:sz w:val="24"/>
                <w:szCs w:val="24"/>
                <w:highlight w:val="none"/>
                <w:lang w:val="en-US" w:eastAsia="zh-CN" w:bidi="ar-SA"/>
              </w:rPr>
              <w:t>因此，</w:t>
            </w:r>
            <w:r>
              <w:rPr>
                <w:rFonts w:hint="eastAsia" w:ascii="Times New Roman" w:hAnsi="Times New Roman" w:eastAsia="仿宋" w:cs="Times New Roman"/>
                <w:bCs/>
                <w:color w:val="auto"/>
                <w:kern w:val="0"/>
                <w:sz w:val="24"/>
                <w:szCs w:val="24"/>
                <w:highlight w:val="none"/>
                <w:lang w:val="en-US" w:eastAsia="zh-CN" w:bidi="ar-SA"/>
              </w:rPr>
              <w:t>本项目卫生防护距离为生产外扩50米形成的包络线</w:t>
            </w:r>
            <w:r>
              <w:rPr>
                <w:rFonts w:hint="default" w:ascii="Times New Roman" w:hAnsi="Times New Roman" w:eastAsia="仿宋" w:cs="Times New Roman"/>
                <w:bCs/>
                <w:color w:val="auto"/>
                <w:kern w:val="0"/>
                <w:sz w:val="24"/>
                <w:szCs w:val="24"/>
                <w:highlight w:val="none"/>
                <w:lang w:val="en-US" w:eastAsia="zh-CN" w:bidi="ar-SA"/>
              </w:rPr>
              <w:t>。</w:t>
            </w:r>
            <w:r>
              <w:rPr>
                <w:rFonts w:hint="eastAsia" w:ascii="Times New Roman" w:hAnsi="Times New Roman" w:eastAsia="仿宋" w:cs="Times New Roman"/>
                <w:bCs/>
                <w:color w:val="auto"/>
                <w:kern w:val="0"/>
                <w:sz w:val="24"/>
                <w:szCs w:val="24"/>
                <w:highlight w:val="none"/>
                <w:lang w:val="en-US" w:eastAsia="zh-CN" w:bidi="ar-SA"/>
              </w:rPr>
              <w:t>据本项目最近的</w:t>
            </w:r>
            <w:r>
              <w:rPr>
                <w:rFonts w:hint="default" w:ascii="Times New Roman" w:hAnsi="Times New Roman" w:eastAsia="仿宋" w:cs="Times New Roman"/>
                <w:bCs/>
                <w:color w:val="auto"/>
                <w:kern w:val="0"/>
                <w:sz w:val="24"/>
                <w:szCs w:val="24"/>
                <w:highlight w:val="none"/>
                <w:lang w:val="en-US" w:eastAsia="zh-CN" w:bidi="ar-SA"/>
              </w:rPr>
              <w:t>居民</w:t>
            </w:r>
            <w:r>
              <w:rPr>
                <w:rFonts w:hint="eastAsia" w:ascii="Times New Roman" w:hAnsi="Times New Roman" w:eastAsia="仿宋" w:cs="Times New Roman"/>
                <w:bCs/>
                <w:color w:val="auto"/>
                <w:kern w:val="0"/>
                <w:sz w:val="24"/>
                <w:szCs w:val="24"/>
                <w:highlight w:val="none"/>
                <w:lang w:val="en-US" w:eastAsia="zh-CN" w:bidi="ar-SA"/>
              </w:rPr>
              <w:t>区陈家头</w:t>
            </w:r>
            <w:r>
              <w:rPr>
                <w:rFonts w:hint="default" w:ascii="Times New Roman" w:hAnsi="Times New Roman" w:eastAsia="仿宋" w:cs="Times New Roman"/>
                <w:bCs/>
                <w:color w:val="auto"/>
                <w:kern w:val="0"/>
                <w:sz w:val="24"/>
                <w:szCs w:val="24"/>
                <w:highlight w:val="none"/>
                <w:lang w:val="en-US" w:eastAsia="zh-CN" w:bidi="ar-SA"/>
              </w:rPr>
              <w:t>距离</w:t>
            </w:r>
            <w:r>
              <w:rPr>
                <w:rFonts w:hint="eastAsia" w:ascii="Times New Roman" w:hAnsi="Times New Roman" w:eastAsia="仿宋" w:cs="Times New Roman"/>
                <w:bCs/>
                <w:color w:val="auto"/>
                <w:kern w:val="0"/>
                <w:sz w:val="24"/>
                <w:szCs w:val="24"/>
                <w:highlight w:val="none"/>
                <w:lang w:val="en-US" w:eastAsia="zh-CN" w:bidi="ar-SA"/>
              </w:rPr>
              <w:t>整体厂区边界172</w:t>
            </w:r>
            <w:r>
              <w:rPr>
                <w:rFonts w:hint="default" w:ascii="Times New Roman" w:hAnsi="Times New Roman" w:eastAsia="仿宋" w:cs="Times New Roman"/>
                <w:bCs/>
                <w:color w:val="auto"/>
                <w:kern w:val="0"/>
                <w:sz w:val="24"/>
                <w:szCs w:val="24"/>
                <w:highlight w:val="none"/>
                <w:lang w:val="en-US" w:eastAsia="zh-CN" w:bidi="ar-SA"/>
              </w:rPr>
              <w:t>m，因此目前该卫生防护距离包络线范围内无敏感保护目标，以后也不得在卫生防护距离内建设居住区等环境敏感目标，以避免环境纠纷。</w:t>
            </w:r>
          </w:p>
          <w:p>
            <w:pPr>
              <w:pStyle w:val="2"/>
              <w:spacing w:line="360" w:lineRule="auto"/>
              <w:ind w:firstLine="480" w:firstLineChars="200"/>
              <w:jc w:val="left"/>
              <w:rPr>
                <w:rFonts w:hint="default" w:ascii="Times New Roman" w:hAnsi="Times New Roman" w:eastAsia="仿宋" w:cs="Times New Roman"/>
                <w:bCs/>
                <w:color w:val="auto"/>
                <w:kern w:val="0"/>
                <w:sz w:val="24"/>
                <w:szCs w:val="24"/>
                <w:highlight w:val="none"/>
                <w:lang w:val="en-US" w:eastAsia="zh-CN" w:bidi="ar-SA"/>
              </w:rPr>
            </w:pPr>
            <w:r>
              <w:rPr>
                <w:rFonts w:hint="default" w:ascii="Times New Roman" w:hAnsi="Times New Roman" w:eastAsia="仿宋" w:cs="Times New Roman"/>
                <w:bCs/>
                <w:color w:val="auto"/>
                <w:kern w:val="0"/>
                <w:sz w:val="24"/>
                <w:szCs w:val="24"/>
                <w:highlight w:val="none"/>
                <w:lang w:val="en-US" w:eastAsia="zh-CN" w:bidi="ar-SA"/>
              </w:rPr>
              <w:t>（七）结论</w:t>
            </w:r>
          </w:p>
          <w:p>
            <w:pPr>
              <w:pStyle w:val="2"/>
              <w:spacing w:line="360" w:lineRule="auto"/>
              <w:ind w:firstLine="480" w:firstLineChars="200"/>
              <w:jc w:val="left"/>
              <w:rPr>
                <w:rFonts w:hint="eastAsia" w:ascii="Times New Roman" w:hAnsi="Times New Roman" w:eastAsia="仿宋" w:cs="Times New Roman"/>
                <w:kern w:val="0"/>
                <w:sz w:val="24"/>
                <w:szCs w:val="24"/>
                <w:lang w:val="en-US" w:eastAsia="zh-CN"/>
              </w:rPr>
            </w:pPr>
            <w:r>
              <w:rPr>
                <w:rFonts w:hint="default" w:ascii="Times New Roman" w:hAnsi="Times New Roman" w:eastAsia="仿宋" w:cs="Times New Roman"/>
                <w:bCs/>
                <w:color w:val="auto"/>
                <w:kern w:val="0"/>
                <w:sz w:val="24"/>
                <w:szCs w:val="24"/>
                <w:highlight w:val="none"/>
                <w:lang w:val="en-US" w:eastAsia="zh-CN" w:bidi="ar-SA"/>
              </w:rPr>
              <w:t>通过预测，本项目排放的大气污染物对周围环境的影响均较小，周围环境空气质量基本能够维持现状。企业必须按照报告表中所提措施严格控制废气污染物的排放，做好无组织废气的环境管理，以保证项目周边环境敏感目标的环境空气质量不受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（四）监测要求</w:t>
            </w:r>
          </w:p>
          <w:p>
            <w:pPr>
              <w:pStyle w:val="2"/>
              <w:spacing w:line="360" w:lineRule="auto"/>
              <w:ind w:firstLine="480" w:firstLineChars="200"/>
              <w:rPr>
                <w:rFonts w:hint="default"/>
                <w:lang w:val="en-US" w:eastAsia="zh-CN"/>
              </w:rPr>
            </w:pPr>
            <w:r>
              <w:rPr>
                <w:rFonts w:hint="eastAsia" w:ascii="Times New Roman" w:hAnsi="Times New Roman" w:eastAsia="仿宋" w:cs="Times New Roman"/>
                <w:kern w:val="0"/>
                <w:sz w:val="24"/>
                <w:szCs w:val="24"/>
                <w:lang w:val="en-US" w:eastAsia="zh-CN"/>
              </w:rPr>
              <w:t>根据《排污单位自行监测技术指南 总则》（HJ819-2017）中的相关监测要求，制定本项目废气监测计划。</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表4-</w:t>
            </w:r>
            <w:r>
              <w:rPr>
                <w:rFonts w:hint="eastAsia" w:eastAsia="仿宋" w:cs="Times New Roman"/>
                <w:b/>
                <w:bCs/>
                <w:kern w:val="0"/>
                <w:sz w:val="24"/>
                <w:szCs w:val="24"/>
                <w:lang w:val="en-US" w:eastAsia="zh-CN"/>
              </w:rPr>
              <w:t>18</w:t>
            </w:r>
            <w:r>
              <w:rPr>
                <w:rFonts w:hint="eastAsia" w:ascii="Times New Roman" w:hAnsi="Times New Roman" w:eastAsia="仿宋" w:cs="Times New Roman"/>
                <w:b/>
                <w:bCs/>
                <w:kern w:val="0"/>
                <w:sz w:val="24"/>
                <w:szCs w:val="24"/>
                <w:lang w:val="en-US" w:eastAsia="zh-CN"/>
              </w:rPr>
              <w:t xml:space="preserve"> 本项目环境监测计划</w:t>
            </w:r>
          </w:p>
          <w:tbl>
            <w:tblPr>
              <w:tblStyle w:val="1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14"/>
              <w:gridCol w:w="1737"/>
              <w:gridCol w:w="1311"/>
              <w:gridCol w:w="1807"/>
              <w:gridCol w:w="1900"/>
              <w:gridCol w:w="7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13"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类别</w:t>
                  </w:r>
                </w:p>
              </w:tc>
              <w:tc>
                <w:tcPr>
                  <w:tcW w:w="1039"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监测位置</w:t>
                  </w:r>
                </w:p>
              </w:tc>
              <w:tc>
                <w:tcPr>
                  <w:tcW w:w="78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监测指标</w:t>
                  </w:r>
                </w:p>
              </w:tc>
              <w:tc>
                <w:tcPr>
                  <w:tcW w:w="108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监测频率</w:t>
                  </w:r>
                </w:p>
              </w:tc>
              <w:tc>
                <w:tcPr>
                  <w:tcW w:w="104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排放标准</w:t>
                  </w:r>
                </w:p>
              </w:tc>
              <w:tc>
                <w:tcPr>
                  <w:tcW w:w="43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监测单位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561" w:hRule="atLeast"/>
                <w:jc w:val="center"/>
              </w:trPr>
              <w:tc>
                <w:tcPr>
                  <w:tcW w:w="613"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废气</w:t>
                  </w:r>
                </w:p>
              </w:tc>
              <w:tc>
                <w:tcPr>
                  <w:tcW w:w="1039"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1#排气筒</w:t>
                  </w:r>
                </w:p>
              </w:tc>
              <w:tc>
                <w:tcPr>
                  <w:tcW w:w="78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非甲烷总烃</w:t>
                  </w:r>
                </w:p>
              </w:tc>
              <w:tc>
                <w:tcPr>
                  <w:tcW w:w="108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每</w:t>
                  </w:r>
                  <w:r>
                    <w:rPr>
                      <w:rFonts w:hint="eastAsia" w:eastAsia="仿宋" w:cs="Times New Roman"/>
                      <w:kern w:val="0"/>
                      <w:szCs w:val="21"/>
                      <w:vertAlign w:val="baseline"/>
                      <w:lang w:val="en-US" w:eastAsia="zh-CN"/>
                    </w:rPr>
                    <w:t>年</w:t>
                  </w:r>
                  <w:r>
                    <w:rPr>
                      <w:rFonts w:hint="eastAsia" w:ascii="Times New Roman" w:hAnsi="Times New Roman" w:eastAsia="仿宋" w:cs="Times New Roman"/>
                      <w:kern w:val="0"/>
                      <w:szCs w:val="21"/>
                      <w:vertAlign w:val="baseline"/>
                      <w:lang w:val="en-US" w:eastAsia="zh-CN"/>
                    </w:rPr>
                    <w:t>一次</w:t>
                  </w:r>
                </w:p>
              </w:tc>
              <w:tc>
                <w:tcPr>
                  <w:tcW w:w="1044"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《大气污染物综合排放标准》（</w:t>
                  </w:r>
                  <w:r>
                    <w:rPr>
                      <w:rFonts w:hint="eastAsia" w:eastAsia="仿宋" w:cs="Times New Roman"/>
                      <w:kern w:val="0"/>
                      <w:szCs w:val="21"/>
                      <w:vertAlign w:val="baseline"/>
                      <w:lang w:val="en-US" w:eastAsia="zh-CN"/>
                    </w:rPr>
                    <w:t>DB32/4041-2021</w:t>
                  </w:r>
                  <w:r>
                    <w:rPr>
                      <w:rFonts w:hint="default" w:ascii="Times New Roman" w:hAnsi="Times New Roman" w:eastAsia="仿宋" w:cs="Times New Roman"/>
                      <w:kern w:val="0"/>
                      <w:szCs w:val="21"/>
                      <w:vertAlign w:val="baseline"/>
                      <w:lang w:val="en-US" w:eastAsia="zh-CN"/>
                    </w:rPr>
                    <w:t>）表</w:t>
                  </w:r>
                  <w:r>
                    <w:rPr>
                      <w:rFonts w:hint="eastAsia" w:eastAsia="仿宋" w:cs="Times New Roman"/>
                      <w:kern w:val="0"/>
                      <w:szCs w:val="21"/>
                      <w:vertAlign w:val="baseline"/>
                      <w:lang w:val="en-US" w:eastAsia="zh-CN"/>
                    </w:rPr>
                    <w:t>1、表3</w:t>
                  </w:r>
                  <w:r>
                    <w:rPr>
                      <w:rFonts w:hint="default" w:ascii="Times New Roman" w:hAnsi="Times New Roman" w:eastAsia="仿宋" w:cs="Times New Roman"/>
                      <w:kern w:val="0"/>
                      <w:szCs w:val="21"/>
                      <w:vertAlign w:val="baseline"/>
                      <w:lang w:val="en-US" w:eastAsia="zh-CN"/>
                    </w:rPr>
                    <w:t>标准</w:t>
                  </w:r>
                </w:p>
              </w:tc>
              <w:tc>
                <w:tcPr>
                  <w:tcW w:w="432"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有资质的环境监测机构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61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p>
              </w:tc>
              <w:tc>
                <w:tcPr>
                  <w:tcW w:w="1039"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eastAsia" w:ascii="仿宋" w:hAnsi="仿宋" w:eastAsia="仿宋" w:cs="仿宋"/>
                      <w:kern w:val="0"/>
                      <w:szCs w:val="21"/>
                      <w:vertAlign w:val="baseline"/>
                      <w:lang w:val="en-US" w:eastAsia="zh-CN"/>
                    </w:rPr>
                  </w:pPr>
                  <w:r>
                    <w:rPr>
                      <w:rFonts w:hint="eastAsia" w:ascii="仿宋" w:hAnsi="仿宋" w:eastAsia="仿宋" w:cs="仿宋"/>
                      <w:kern w:val="0"/>
                      <w:szCs w:val="21"/>
                      <w:vertAlign w:val="baseline"/>
                      <w:lang w:val="en-US" w:eastAsia="zh-CN"/>
                    </w:rPr>
                    <w:t>厂界（无组织）</w:t>
                  </w:r>
                </w:p>
              </w:tc>
              <w:tc>
                <w:tcPr>
                  <w:tcW w:w="78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ind w:left="0" w:leftChars="0" w:firstLine="0" w:firstLineChars="0"/>
                    <w:jc w:val="center"/>
                    <w:textAlignment w:val="auto"/>
                    <w:rPr>
                      <w:rFonts w:hint="eastAsia"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非甲烷总烃</w:t>
                  </w:r>
                </w:p>
              </w:tc>
              <w:tc>
                <w:tcPr>
                  <w:tcW w:w="108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p>
              </w:tc>
              <w:tc>
                <w:tcPr>
                  <w:tcW w:w="1044"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p>
              </w:tc>
              <w:tc>
                <w:tcPr>
                  <w:tcW w:w="43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61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p>
              </w:tc>
              <w:tc>
                <w:tcPr>
                  <w:tcW w:w="1039"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eastAsia" w:ascii="仿宋" w:hAnsi="仿宋" w:eastAsia="仿宋" w:cs="仿宋"/>
                      <w:kern w:val="0"/>
                      <w:szCs w:val="21"/>
                      <w:vertAlign w:val="baseline"/>
                      <w:lang w:val="en-US" w:eastAsia="zh-CN"/>
                    </w:rPr>
                  </w:pPr>
                  <w:r>
                    <w:rPr>
                      <w:rFonts w:hint="eastAsia" w:ascii="仿宋" w:hAnsi="仿宋" w:eastAsia="仿宋" w:cs="仿宋"/>
                      <w:color w:val="auto"/>
                      <w:sz w:val="21"/>
                      <w:szCs w:val="21"/>
                      <w:highlight w:val="none"/>
                      <w:lang w:val="en-US" w:eastAsia="zh-CN"/>
                    </w:rPr>
                    <w:t>厂区内（无组织）</w:t>
                  </w:r>
                </w:p>
              </w:tc>
              <w:tc>
                <w:tcPr>
                  <w:tcW w:w="78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ind w:left="0" w:leftChars="0" w:firstLine="0" w:firstLineChars="0"/>
                    <w:jc w:val="center"/>
                    <w:textAlignment w:val="auto"/>
                    <w:rPr>
                      <w:rFonts w:hint="default" w:eastAsia="仿宋" w:cs="Times New Roman"/>
                      <w:kern w:val="0"/>
                      <w:szCs w:val="21"/>
                      <w:vertAlign w:val="baseline"/>
                      <w:lang w:val="en-US" w:eastAsia="zh-CN"/>
                    </w:rPr>
                  </w:pPr>
                  <w:r>
                    <w:rPr>
                      <w:rFonts w:hint="eastAsia" w:eastAsia="仿宋" w:cs="Times New Roman"/>
                      <w:kern w:val="0"/>
                      <w:szCs w:val="21"/>
                      <w:vertAlign w:val="baseline"/>
                      <w:lang w:val="en-US" w:eastAsia="zh-CN"/>
                    </w:rPr>
                    <w:t>非甲烷总烃</w:t>
                  </w:r>
                </w:p>
              </w:tc>
              <w:tc>
                <w:tcPr>
                  <w:tcW w:w="108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p>
              </w:tc>
              <w:tc>
                <w:tcPr>
                  <w:tcW w:w="1044"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p>
              </w:tc>
              <w:tc>
                <w:tcPr>
                  <w:tcW w:w="43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二、废水</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（一）污染物产生情况</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①生活污水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eastAsia="宋体" w:cs="Times New Roman"/>
                <w:color w:val="auto"/>
                <w:highlight w:val="none"/>
              </w:rPr>
            </w:pPr>
            <w:r>
              <w:rPr>
                <w:rFonts w:hint="default" w:ascii="Times New Roman" w:hAnsi="Times New Roman" w:eastAsia="仿宋" w:cs="Times New Roman"/>
                <w:kern w:val="0"/>
                <w:sz w:val="24"/>
                <w:szCs w:val="24"/>
                <w:lang w:val="en-US" w:eastAsia="zh-CN"/>
              </w:rPr>
              <w:t>生活污水：本项目</w:t>
            </w:r>
            <w:r>
              <w:rPr>
                <w:rFonts w:hint="eastAsia" w:eastAsia="仿宋" w:cs="Times New Roman"/>
                <w:kern w:val="0"/>
                <w:sz w:val="24"/>
                <w:szCs w:val="24"/>
                <w:lang w:val="en-US" w:eastAsia="zh-CN"/>
              </w:rPr>
              <w:t>定员</w:t>
            </w:r>
            <w:r>
              <w:rPr>
                <w:rFonts w:hint="eastAsia" w:ascii="Times New Roman" w:hAnsi="Times New Roman" w:eastAsia="仿宋" w:cs="Times New Roman"/>
                <w:kern w:val="0"/>
                <w:sz w:val="24"/>
                <w:szCs w:val="24"/>
                <w:lang w:val="en-US" w:eastAsia="zh-CN"/>
              </w:rPr>
              <w:t>10</w:t>
            </w:r>
            <w:r>
              <w:rPr>
                <w:rFonts w:hint="default" w:ascii="Times New Roman" w:hAnsi="Times New Roman" w:eastAsia="仿宋" w:cs="Times New Roman"/>
                <w:kern w:val="0"/>
                <w:sz w:val="24"/>
                <w:szCs w:val="24"/>
                <w:lang w:val="en-US" w:eastAsia="zh-CN"/>
              </w:rPr>
              <w:t>人，本项目按照员工用水量</w:t>
            </w:r>
            <w:r>
              <w:rPr>
                <w:rFonts w:hint="eastAsia" w:eastAsia="仿宋" w:cs="Times New Roman"/>
                <w:kern w:val="0"/>
                <w:sz w:val="24"/>
                <w:szCs w:val="24"/>
                <w:lang w:val="en-US" w:eastAsia="zh-CN"/>
              </w:rPr>
              <w:t>80</w:t>
            </w:r>
            <w:r>
              <w:rPr>
                <w:rFonts w:hint="default" w:ascii="Times New Roman" w:hAnsi="Times New Roman" w:eastAsia="仿宋" w:cs="Times New Roman"/>
                <w:kern w:val="0"/>
                <w:sz w:val="24"/>
                <w:szCs w:val="24"/>
                <w:lang w:val="en-US" w:eastAsia="zh-CN"/>
              </w:rPr>
              <w:t>L/人/天，则生活用水量为</w:t>
            </w:r>
            <w:r>
              <w:rPr>
                <w:rFonts w:hint="eastAsia" w:eastAsia="仿宋" w:cs="Times New Roman"/>
                <w:kern w:val="0"/>
                <w:sz w:val="24"/>
                <w:szCs w:val="24"/>
                <w:lang w:val="en-US" w:eastAsia="zh-CN"/>
              </w:rPr>
              <w:t>240</w:t>
            </w:r>
            <w:r>
              <w:rPr>
                <w:rFonts w:hint="default" w:ascii="Times New Roman" w:hAnsi="Times New Roman" w:eastAsia="仿宋" w:cs="Times New Roman"/>
                <w:kern w:val="0"/>
                <w:sz w:val="24"/>
                <w:szCs w:val="24"/>
                <w:lang w:val="en-US" w:eastAsia="zh-CN"/>
              </w:rPr>
              <w:t>t/a。生活污水产生量以用水量的80%计，则产生量约</w:t>
            </w:r>
            <w:r>
              <w:rPr>
                <w:rFonts w:hint="eastAsia" w:eastAsia="仿宋" w:cs="Times New Roman"/>
                <w:kern w:val="0"/>
                <w:sz w:val="24"/>
                <w:szCs w:val="24"/>
                <w:lang w:val="en-US" w:eastAsia="zh-CN"/>
              </w:rPr>
              <w:t>192</w:t>
            </w:r>
            <w:r>
              <w:rPr>
                <w:rFonts w:hint="default" w:ascii="Times New Roman" w:hAnsi="Times New Roman" w:eastAsia="仿宋" w:cs="Times New Roman"/>
                <w:kern w:val="0"/>
                <w:sz w:val="24"/>
                <w:szCs w:val="24"/>
                <w:lang w:val="en-US" w:eastAsia="zh-CN"/>
              </w:rPr>
              <w:t>t/a，主要污染物及浓度分别为COD450mg/L、SS350 mg/L、氨氮30mg/L、总磷5mg/L、总氮50mg/L。</w:t>
            </w:r>
          </w:p>
          <w:p>
            <w:pPr>
              <w:pStyle w:val="2"/>
              <w:jc w:val="center"/>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highlight w:val="none"/>
              </w:rPr>
              <w:t>表</w:t>
            </w:r>
            <w:r>
              <w:rPr>
                <w:rFonts w:hint="eastAsia" w:ascii="Times New Roman" w:hAnsi="Times New Roman" w:eastAsia="仿宋" w:cs="Times New Roman"/>
                <w:b/>
                <w:bCs/>
                <w:color w:val="auto"/>
                <w:highlight w:val="none"/>
                <w:lang w:val="en-US" w:eastAsia="zh-CN"/>
              </w:rPr>
              <w:t>4-19</w:t>
            </w:r>
            <w:r>
              <w:rPr>
                <w:rFonts w:hint="default" w:ascii="Times New Roman" w:hAnsi="Times New Roman" w:eastAsia="仿宋" w:cs="Times New Roman"/>
                <w:b/>
                <w:bCs/>
                <w:color w:val="auto"/>
                <w:highlight w:val="none"/>
              </w:rPr>
              <w:t xml:space="preserve"> 本项目生活污水产生情况一览表</w:t>
            </w:r>
          </w:p>
          <w:tbl>
            <w:tblPr>
              <w:tblStyle w:val="1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1297"/>
              <w:gridCol w:w="1280"/>
              <w:gridCol w:w="1464"/>
              <w:gridCol w:w="1357"/>
              <w:gridCol w:w="1742"/>
              <w:gridCol w:w="1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764" w:type="pct"/>
                  <w:vMerge w:val="restar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废水来源</w:t>
                  </w:r>
                </w:p>
              </w:tc>
              <w:tc>
                <w:tcPr>
                  <w:tcW w:w="754" w:type="pct"/>
                  <w:vMerge w:val="restar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废水量m</w:t>
                  </w:r>
                  <w:r>
                    <w:rPr>
                      <w:rFonts w:hint="default" w:ascii="Times New Roman" w:hAnsi="Times New Roman" w:eastAsia="仿宋" w:cs="Times New Roman"/>
                      <w:b/>
                      <w:bCs/>
                      <w:color w:val="auto"/>
                      <w:sz w:val="21"/>
                      <w:szCs w:val="21"/>
                      <w:highlight w:val="none"/>
                      <w:vertAlign w:val="superscript"/>
                    </w:rPr>
                    <w:t>3</w:t>
                  </w:r>
                  <w:r>
                    <w:rPr>
                      <w:rFonts w:hint="default" w:ascii="Times New Roman" w:hAnsi="Times New Roman" w:eastAsia="仿宋" w:cs="Times New Roman"/>
                      <w:b/>
                      <w:bCs/>
                      <w:color w:val="auto"/>
                      <w:sz w:val="21"/>
                      <w:szCs w:val="21"/>
                      <w:highlight w:val="none"/>
                    </w:rPr>
                    <w:t>/a</w:t>
                  </w:r>
                </w:p>
              </w:tc>
              <w:tc>
                <w:tcPr>
                  <w:tcW w:w="862" w:type="pct"/>
                  <w:vMerge w:val="restar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污染物名称</w:t>
                  </w:r>
                </w:p>
              </w:tc>
              <w:tc>
                <w:tcPr>
                  <w:tcW w:w="1825" w:type="pct"/>
                  <w:gridSpan w:val="2"/>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污染物产生量</w:t>
                  </w:r>
                </w:p>
              </w:tc>
              <w:tc>
                <w:tcPr>
                  <w:tcW w:w="793" w:type="pct"/>
                  <w:vMerge w:val="restar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76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 w:cs="Times New Roman"/>
                      <w:b/>
                      <w:bCs/>
                      <w:color w:val="auto"/>
                      <w:sz w:val="21"/>
                      <w:szCs w:val="21"/>
                      <w:highlight w:val="none"/>
                    </w:rPr>
                  </w:pPr>
                </w:p>
              </w:tc>
              <w:tc>
                <w:tcPr>
                  <w:tcW w:w="75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 w:cs="Times New Roman"/>
                      <w:b/>
                      <w:bCs/>
                      <w:color w:val="auto"/>
                      <w:sz w:val="21"/>
                      <w:szCs w:val="21"/>
                      <w:highlight w:val="none"/>
                    </w:rPr>
                  </w:pPr>
                </w:p>
              </w:tc>
              <w:tc>
                <w:tcPr>
                  <w:tcW w:w="862" w:type="pct"/>
                  <w:vMerge w:val="continue"/>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p>
              </w:tc>
              <w:tc>
                <w:tcPr>
                  <w:tcW w:w="799" w:type="pc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浓度mg/L</w:t>
                  </w:r>
                </w:p>
              </w:tc>
              <w:tc>
                <w:tcPr>
                  <w:tcW w:w="1026" w:type="pc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产生量t/a</w:t>
                  </w:r>
                </w:p>
              </w:tc>
              <w:tc>
                <w:tcPr>
                  <w:tcW w:w="793" w:type="pct"/>
                  <w:vMerge w:val="continue"/>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764" w:type="pct"/>
                  <w:vMerge w:val="restar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本项目</w:t>
                  </w:r>
                  <w:r>
                    <w:rPr>
                      <w:rFonts w:hint="default" w:ascii="Times New Roman" w:hAnsi="Times New Roman" w:eastAsia="仿宋" w:cs="Times New Roman"/>
                      <w:color w:val="auto"/>
                      <w:sz w:val="21"/>
                      <w:szCs w:val="21"/>
                      <w:highlight w:val="none"/>
                    </w:rPr>
                    <w:t>生活污水</w:t>
                  </w:r>
                </w:p>
              </w:tc>
              <w:tc>
                <w:tcPr>
                  <w:tcW w:w="754" w:type="pct"/>
                  <w:vMerge w:val="restar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192</w:t>
                  </w:r>
                </w:p>
              </w:tc>
              <w:tc>
                <w:tcPr>
                  <w:tcW w:w="862" w:type="pc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r>
                    <w:rPr>
                      <w:rStyle w:val="48"/>
                      <w:rFonts w:hint="default" w:ascii="Times New Roman" w:hAnsi="Times New Roman" w:eastAsia="仿宋" w:cs="Times New Roman"/>
                      <w:color w:val="auto"/>
                      <w:sz w:val="21"/>
                      <w:szCs w:val="21"/>
                      <w:highlight w:val="none"/>
                    </w:rPr>
                    <w:t>COD</w:t>
                  </w:r>
                </w:p>
              </w:tc>
              <w:tc>
                <w:tcPr>
                  <w:tcW w:w="79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bidi="ar"/>
                    </w:rPr>
                    <w:t>450</w:t>
                  </w:r>
                </w:p>
              </w:tc>
              <w:tc>
                <w:tcPr>
                  <w:tcW w:w="10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i w:val="0"/>
                      <w:color w:val="000000"/>
                      <w:kern w:val="0"/>
                      <w:sz w:val="21"/>
                      <w:szCs w:val="21"/>
                      <w:u w:val="none"/>
                      <w:lang w:val="en-US" w:eastAsia="zh-CN" w:bidi="ar"/>
                    </w:rPr>
                    <w:t>0.</w:t>
                  </w:r>
                  <w:r>
                    <w:rPr>
                      <w:rFonts w:hint="eastAsia" w:eastAsia="仿宋" w:cs="Times New Roman"/>
                      <w:i w:val="0"/>
                      <w:color w:val="000000"/>
                      <w:kern w:val="0"/>
                      <w:sz w:val="21"/>
                      <w:szCs w:val="21"/>
                      <w:u w:val="none"/>
                      <w:lang w:val="en-US" w:eastAsia="zh-CN" w:bidi="ar"/>
                    </w:rPr>
                    <w:t>086</w:t>
                  </w:r>
                </w:p>
              </w:tc>
              <w:tc>
                <w:tcPr>
                  <w:tcW w:w="793" w:type="pct"/>
                  <w:vMerge w:val="restar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经化粪池预处理后接管至郑陆污水处理有限公司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76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75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62" w:type="pc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79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bidi="ar"/>
                    </w:rPr>
                    <w:t>350</w:t>
                  </w:r>
                </w:p>
              </w:tc>
              <w:tc>
                <w:tcPr>
                  <w:tcW w:w="10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i w:val="0"/>
                      <w:color w:val="000000"/>
                      <w:kern w:val="0"/>
                      <w:sz w:val="21"/>
                      <w:szCs w:val="21"/>
                      <w:u w:val="none"/>
                      <w:lang w:val="en-US" w:eastAsia="zh-CN" w:bidi="ar"/>
                    </w:rPr>
                    <w:t>0.0</w:t>
                  </w:r>
                  <w:r>
                    <w:rPr>
                      <w:rFonts w:hint="eastAsia" w:eastAsia="仿宋" w:cs="Times New Roman"/>
                      <w:i w:val="0"/>
                      <w:color w:val="000000"/>
                      <w:kern w:val="0"/>
                      <w:sz w:val="21"/>
                      <w:szCs w:val="21"/>
                      <w:u w:val="none"/>
                      <w:lang w:val="en-US" w:eastAsia="zh-CN" w:bidi="ar"/>
                    </w:rPr>
                    <w:t>67</w:t>
                  </w:r>
                </w:p>
              </w:tc>
              <w:tc>
                <w:tcPr>
                  <w:tcW w:w="793" w:type="pct"/>
                  <w:vMerge w:val="continue"/>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76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75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62" w:type="pc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b/>
                      <w:color w:val="auto"/>
                      <w:sz w:val="21"/>
                      <w:szCs w:val="21"/>
                      <w:highlight w:val="none"/>
                    </w:rPr>
                  </w:pPr>
                  <w:r>
                    <w:rPr>
                      <w:rStyle w:val="48"/>
                      <w:rFonts w:hint="default" w:ascii="Times New Roman" w:hAnsi="Times New Roman" w:eastAsia="仿宋" w:cs="Times New Roman"/>
                      <w:color w:val="auto"/>
                      <w:sz w:val="21"/>
                      <w:szCs w:val="21"/>
                      <w:highlight w:val="none"/>
                    </w:rPr>
                    <w:t>NH</w:t>
                  </w:r>
                  <w:r>
                    <w:rPr>
                      <w:rStyle w:val="50"/>
                      <w:rFonts w:hint="default" w:ascii="Times New Roman" w:hAnsi="Times New Roman" w:eastAsia="仿宋" w:cs="Times New Roman"/>
                      <w:color w:val="auto"/>
                      <w:sz w:val="21"/>
                      <w:szCs w:val="21"/>
                      <w:highlight w:val="none"/>
                      <w:vertAlign w:val="subscript"/>
                    </w:rPr>
                    <w:t>3</w:t>
                  </w:r>
                  <w:r>
                    <w:rPr>
                      <w:rStyle w:val="48"/>
                      <w:rFonts w:hint="default" w:ascii="Times New Roman" w:hAnsi="Times New Roman" w:eastAsia="仿宋" w:cs="Times New Roman"/>
                      <w:color w:val="auto"/>
                      <w:sz w:val="21"/>
                      <w:szCs w:val="21"/>
                      <w:highlight w:val="none"/>
                    </w:rPr>
                    <w:t>-N</w:t>
                  </w:r>
                </w:p>
              </w:tc>
              <w:tc>
                <w:tcPr>
                  <w:tcW w:w="79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bidi="ar"/>
                    </w:rPr>
                    <w:t>30</w:t>
                  </w:r>
                </w:p>
              </w:tc>
              <w:tc>
                <w:tcPr>
                  <w:tcW w:w="10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0.00</w:t>
                  </w:r>
                  <w:r>
                    <w:rPr>
                      <w:rFonts w:hint="eastAsia" w:eastAsia="仿宋" w:cs="Times New Roman"/>
                      <w:i w:val="0"/>
                      <w:color w:val="000000"/>
                      <w:kern w:val="0"/>
                      <w:sz w:val="21"/>
                      <w:szCs w:val="21"/>
                      <w:u w:val="none"/>
                      <w:lang w:val="en-US" w:eastAsia="zh-CN" w:bidi="ar"/>
                    </w:rPr>
                    <w:t>6</w:t>
                  </w:r>
                </w:p>
              </w:tc>
              <w:tc>
                <w:tcPr>
                  <w:tcW w:w="793" w:type="pct"/>
                  <w:vMerge w:val="continue"/>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76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75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62" w:type="pc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TP</w:t>
                  </w:r>
                </w:p>
              </w:tc>
              <w:tc>
                <w:tcPr>
                  <w:tcW w:w="79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eastAsia="zh-CN"/>
                    </w:rPr>
                  </w:pPr>
                  <w:r>
                    <w:rPr>
                      <w:rFonts w:hint="eastAsia" w:eastAsia="仿宋" w:cs="Times New Roman"/>
                      <w:color w:val="auto"/>
                      <w:kern w:val="0"/>
                      <w:sz w:val="21"/>
                      <w:szCs w:val="21"/>
                      <w:highlight w:val="none"/>
                      <w:lang w:val="en-US" w:eastAsia="zh-CN" w:bidi="ar"/>
                    </w:rPr>
                    <w:t>3</w:t>
                  </w:r>
                </w:p>
              </w:tc>
              <w:tc>
                <w:tcPr>
                  <w:tcW w:w="10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0.001</w:t>
                  </w:r>
                </w:p>
              </w:tc>
              <w:tc>
                <w:tcPr>
                  <w:tcW w:w="793" w:type="pct"/>
                  <w:vMerge w:val="continue"/>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76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754" w:type="pct"/>
                  <w:vMerge w:val="continue"/>
                  <w:tcBorders>
                    <w:tl2br w:val="nil"/>
                    <w:tr2bl w:val="nil"/>
                  </w:tcBorders>
                  <w:vAlign w:val="center"/>
                </w:tcPr>
                <w:p>
                  <w:pPr>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62" w:type="pct"/>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TN</w:t>
                  </w:r>
                </w:p>
              </w:tc>
              <w:tc>
                <w:tcPr>
                  <w:tcW w:w="79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bidi="ar"/>
                    </w:rPr>
                    <w:t>50</w:t>
                  </w:r>
                </w:p>
              </w:tc>
              <w:tc>
                <w:tcPr>
                  <w:tcW w:w="10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i w:val="0"/>
                      <w:color w:val="000000"/>
                      <w:kern w:val="0"/>
                      <w:sz w:val="21"/>
                      <w:szCs w:val="21"/>
                      <w:u w:val="none"/>
                      <w:lang w:val="en-US" w:eastAsia="zh-CN" w:bidi="ar"/>
                    </w:rPr>
                    <w:t>0.0</w:t>
                  </w:r>
                  <w:r>
                    <w:rPr>
                      <w:rFonts w:hint="eastAsia" w:eastAsia="仿宋" w:cs="Times New Roman"/>
                      <w:i w:val="0"/>
                      <w:color w:val="000000"/>
                      <w:kern w:val="0"/>
                      <w:sz w:val="21"/>
                      <w:szCs w:val="21"/>
                      <w:u w:val="none"/>
                      <w:lang w:val="en-US" w:eastAsia="zh-CN" w:bidi="ar"/>
                    </w:rPr>
                    <w:t>096</w:t>
                  </w:r>
                </w:p>
              </w:tc>
              <w:tc>
                <w:tcPr>
                  <w:tcW w:w="793" w:type="pct"/>
                  <w:vMerge w:val="continue"/>
                  <w:tcBorders>
                    <w:tl2br w:val="nil"/>
                    <w:tr2bl w:val="nil"/>
                  </w:tcBorders>
                  <w:vAlign w:val="center"/>
                </w:tcPr>
                <w:p>
                  <w:pPr>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（二）污染防治措施及排放情况</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（1）防治措施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本项目生活污水经化粪池处理后接管至郑陆污水处理有限公司</w:t>
            </w:r>
            <w:r>
              <w:rPr>
                <w:rFonts w:hint="eastAsia" w:eastAsia="仿宋" w:cs="Times New Roman"/>
                <w:kern w:val="0"/>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（2）接管可行性分析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①服务范围</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郑陆污水处理有限公司位于郑陆镇朝阳路东侧，根据《郑陆污水处理近期工程环境影响报告书》，该污水处理厂收集芙蓉大道以南、戚月线以北，常焦线以东、朝阳路以西地区的污水，近期处理规模为1万m</w:t>
            </w:r>
            <w:r>
              <w:rPr>
                <w:rFonts w:hint="default" w:ascii="Times New Roman" w:hAnsi="Times New Roman" w:eastAsia="仿宋" w:cs="Times New Roman"/>
                <w:kern w:val="0"/>
                <w:sz w:val="24"/>
                <w:szCs w:val="24"/>
                <w:vertAlign w:val="superscript"/>
                <w:lang w:val="en-US" w:eastAsia="zh-CN"/>
              </w:rPr>
              <w:t>3</w:t>
            </w:r>
            <w:r>
              <w:rPr>
                <w:rFonts w:hint="default" w:ascii="Times New Roman" w:hAnsi="Times New Roman" w:eastAsia="仿宋" w:cs="Times New Roman"/>
                <w:kern w:val="0"/>
                <w:sz w:val="24"/>
                <w:szCs w:val="24"/>
                <w:lang w:val="en-US" w:eastAsia="zh-CN"/>
              </w:rPr>
              <w:t>/d，远期处理规模为3万m</w:t>
            </w:r>
            <w:r>
              <w:rPr>
                <w:rFonts w:hint="default" w:ascii="Times New Roman" w:hAnsi="Times New Roman" w:eastAsia="仿宋" w:cs="Times New Roman"/>
                <w:kern w:val="0"/>
                <w:sz w:val="24"/>
                <w:szCs w:val="24"/>
                <w:vertAlign w:val="superscript"/>
                <w:lang w:val="en-US" w:eastAsia="zh-CN"/>
              </w:rPr>
              <w:t>3</w:t>
            </w:r>
            <w:r>
              <w:rPr>
                <w:rFonts w:hint="default" w:ascii="Times New Roman" w:hAnsi="Times New Roman" w:eastAsia="仿宋" w:cs="Times New Roman"/>
                <w:kern w:val="0"/>
                <w:sz w:val="24"/>
                <w:szCs w:val="24"/>
                <w:lang w:val="en-US" w:eastAsia="zh-CN"/>
              </w:rPr>
              <w:t>/d，控制用地20.0ha，处理后的尾水排入舜河。</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②处理工艺</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eastAsia" w:eastAsia="仿宋" w:cs="Times New Roman"/>
                <w:kern w:val="0"/>
                <w:sz w:val="24"/>
                <w:szCs w:val="24"/>
                <w:lang w:val="en-US" w:eastAsia="zh-CN"/>
              </w:rPr>
              <w:t>郑陆污水处理有限公司采用水解酸化＋倒置A</w:t>
            </w:r>
            <w:r>
              <w:rPr>
                <w:rFonts w:hint="eastAsia" w:eastAsia="仿宋" w:cs="Times New Roman"/>
                <w:kern w:val="0"/>
                <w:sz w:val="24"/>
                <w:szCs w:val="24"/>
                <w:vertAlign w:val="superscript"/>
                <w:lang w:val="en-US" w:eastAsia="zh-CN"/>
              </w:rPr>
              <w:t>2</w:t>
            </w:r>
            <w:r>
              <w:rPr>
                <w:rFonts w:hint="eastAsia" w:eastAsia="仿宋" w:cs="Times New Roman"/>
                <w:kern w:val="0"/>
                <w:sz w:val="24"/>
                <w:szCs w:val="24"/>
                <w:lang w:val="en-US" w:eastAsia="zh-CN"/>
              </w:rPr>
              <w:t>/O＋絮凝气浮＋过滤的污水处理工艺。</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③接管水量水质可行性</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仿宋" w:hAnsi="仿宋" w:eastAsia="仿宋" w:cs="仿宋"/>
                <w:kern w:val="0"/>
                <w:sz w:val="24"/>
                <w:szCs w:val="24"/>
                <w:lang w:val="en-US" w:eastAsia="zh-CN"/>
              </w:rPr>
            </w:pPr>
            <w:r>
              <w:rPr>
                <w:rFonts w:hint="default" w:ascii="Times New Roman" w:hAnsi="Times New Roman" w:eastAsia="仿宋" w:cs="Times New Roman"/>
                <w:kern w:val="0"/>
                <w:sz w:val="24"/>
                <w:szCs w:val="24"/>
                <w:lang w:val="en-US" w:eastAsia="zh-CN"/>
              </w:rPr>
              <w:t>本项目</w:t>
            </w:r>
            <w:r>
              <w:rPr>
                <w:rFonts w:hint="eastAsia" w:ascii="Times New Roman" w:hAnsi="Times New Roman" w:eastAsia="仿宋" w:cs="Times New Roman"/>
                <w:kern w:val="0"/>
                <w:sz w:val="24"/>
                <w:szCs w:val="24"/>
                <w:lang w:val="en-US" w:eastAsia="zh-CN"/>
              </w:rPr>
              <w:t>全厂</w:t>
            </w:r>
            <w:r>
              <w:rPr>
                <w:rFonts w:hint="default" w:ascii="Times New Roman" w:hAnsi="Times New Roman" w:eastAsia="仿宋" w:cs="Times New Roman"/>
                <w:kern w:val="0"/>
                <w:sz w:val="24"/>
                <w:szCs w:val="24"/>
                <w:lang w:val="en-US" w:eastAsia="zh-CN"/>
              </w:rPr>
              <w:t>排放量约为</w:t>
            </w:r>
            <w:r>
              <w:rPr>
                <w:rFonts w:hint="eastAsia" w:eastAsia="仿宋" w:cs="Times New Roman"/>
                <w:kern w:val="0"/>
                <w:sz w:val="24"/>
                <w:szCs w:val="24"/>
                <w:lang w:val="en-US" w:eastAsia="zh-CN"/>
              </w:rPr>
              <w:t>0.64</w:t>
            </w:r>
            <w:r>
              <w:rPr>
                <w:rFonts w:hint="default" w:ascii="Times New Roman" w:hAnsi="Times New Roman" w:eastAsia="仿宋" w:cs="Times New Roman"/>
                <w:kern w:val="0"/>
                <w:sz w:val="24"/>
                <w:szCs w:val="24"/>
                <w:lang w:val="en-US" w:eastAsia="zh-CN"/>
              </w:rPr>
              <w:t>m</w:t>
            </w:r>
            <w:r>
              <w:rPr>
                <w:rFonts w:hint="default" w:ascii="Times New Roman" w:hAnsi="Times New Roman" w:eastAsia="仿宋" w:cs="Times New Roman"/>
                <w:kern w:val="0"/>
                <w:sz w:val="24"/>
                <w:szCs w:val="24"/>
                <w:vertAlign w:val="superscript"/>
                <w:lang w:val="en-US" w:eastAsia="zh-CN"/>
              </w:rPr>
              <w:t>3</w:t>
            </w:r>
            <w:r>
              <w:rPr>
                <w:rFonts w:hint="default" w:ascii="Times New Roman" w:hAnsi="Times New Roman" w:eastAsia="仿宋" w:cs="Times New Roman"/>
                <w:kern w:val="0"/>
                <w:sz w:val="24"/>
                <w:szCs w:val="24"/>
                <w:lang w:val="en-US" w:eastAsia="zh-CN"/>
              </w:rPr>
              <w:t>/d，排放量较少，水质较为简单，经预处理后能够满足污水处理厂的进水水质要求，郑陆污水处理有限公司有能力接纳该股废水。</w:t>
            </w:r>
            <w:r>
              <w:rPr>
                <w:rFonts w:hint="eastAsia" w:ascii="仿宋" w:hAnsi="仿宋" w:eastAsia="仿宋" w:cs="仿宋"/>
                <w:sz w:val="24"/>
                <w:lang w:val="en-US" w:eastAsia="zh-CN"/>
              </w:rPr>
              <w:t>污水管网已完全铺设至企业所在区域，满足接管条件。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（3）污染物排放情况</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表</w:t>
            </w:r>
            <w:r>
              <w:rPr>
                <w:rFonts w:hint="eastAsia" w:eastAsia="仿宋" w:cs="Times New Roman"/>
                <w:b/>
                <w:bCs/>
                <w:kern w:val="0"/>
                <w:sz w:val="24"/>
                <w:szCs w:val="24"/>
                <w:lang w:val="en-US" w:eastAsia="zh-CN"/>
              </w:rPr>
              <w:t>4-20</w:t>
            </w:r>
            <w:r>
              <w:rPr>
                <w:rFonts w:hint="eastAsia" w:ascii="Times New Roman" w:hAnsi="Times New Roman" w:eastAsia="仿宋" w:cs="Times New Roman"/>
                <w:b/>
                <w:bCs/>
                <w:kern w:val="0"/>
                <w:sz w:val="24"/>
                <w:szCs w:val="24"/>
                <w:lang w:val="en-US" w:eastAsia="zh-CN"/>
              </w:rPr>
              <w:t xml:space="preserve"> 本项目废水产排情况表</w:t>
            </w:r>
          </w:p>
          <w:tbl>
            <w:tblPr>
              <w:tblStyle w:val="17"/>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31"/>
              <w:gridCol w:w="1207"/>
              <w:gridCol w:w="817"/>
              <w:gridCol w:w="884"/>
              <w:gridCol w:w="1126"/>
              <w:gridCol w:w="882"/>
              <w:gridCol w:w="753"/>
              <w:gridCol w:w="583"/>
              <w:gridCol w:w="9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2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 w:val="21"/>
                      <w:szCs w:val="21"/>
                      <w:vertAlign w:val="baseline"/>
                      <w:lang w:val="en-US" w:eastAsia="zh-CN"/>
                    </w:rPr>
                  </w:pPr>
                  <w:r>
                    <w:rPr>
                      <w:rFonts w:hint="default" w:ascii="Times New Roman" w:hAnsi="Times New Roman" w:eastAsia="仿宋" w:cs="Times New Roman"/>
                      <w:b/>
                      <w:bCs/>
                      <w:kern w:val="0"/>
                      <w:sz w:val="21"/>
                      <w:szCs w:val="21"/>
                      <w:vertAlign w:val="baseline"/>
                      <w:lang w:val="en-US" w:eastAsia="zh-CN"/>
                    </w:rPr>
                    <w:t>废水量</w:t>
                  </w:r>
                </w:p>
              </w:tc>
              <w:tc>
                <w:tcPr>
                  <w:tcW w:w="7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 w:val="21"/>
                      <w:szCs w:val="21"/>
                      <w:vertAlign w:val="baseline"/>
                      <w:lang w:val="en-US" w:eastAsia="zh-CN"/>
                    </w:rPr>
                  </w:pPr>
                  <w:r>
                    <w:rPr>
                      <w:rFonts w:hint="default" w:ascii="Times New Roman" w:hAnsi="Times New Roman" w:eastAsia="仿宋" w:cs="Times New Roman"/>
                      <w:b/>
                      <w:bCs/>
                      <w:kern w:val="0"/>
                      <w:sz w:val="21"/>
                      <w:szCs w:val="21"/>
                      <w:vertAlign w:val="baseline"/>
                      <w:lang w:val="en-US" w:eastAsia="zh-CN"/>
                    </w:rPr>
                    <w:t>污染物因子</w:t>
                  </w:r>
                </w:p>
              </w:tc>
              <w:tc>
                <w:tcPr>
                  <w:tcW w:w="48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 w:val="21"/>
                      <w:szCs w:val="21"/>
                      <w:vertAlign w:val="baseline"/>
                      <w:lang w:val="en-US" w:eastAsia="zh-CN"/>
                    </w:rPr>
                  </w:pPr>
                  <w:r>
                    <w:rPr>
                      <w:rFonts w:hint="default" w:ascii="Times New Roman" w:hAnsi="Times New Roman" w:eastAsia="仿宋" w:cs="Times New Roman"/>
                      <w:b/>
                      <w:bCs/>
                      <w:kern w:val="0"/>
                      <w:sz w:val="21"/>
                      <w:szCs w:val="21"/>
                      <w:vertAlign w:val="baseline"/>
                      <w:lang w:val="en-US" w:eastAsia="zh-CN"/>
                    </w:rPr>
                    <w:t>产生浓度</w:t>
                  </w:r>
                  <w:r>
                    <w:rPr>
                      <w:rFonts w:hint="eastAsia" w:eastAsia="仿宋" w:cs="Times New Roman"/>
                      <w:b/>
                      <w:bCs/>
                      <w:kern w:val="0"/>
                      <w:sz w:val="21"/>
                      <w:szCs w:val="21"/>
                      <w:vertAlign w:val="baseline"/>
                      <w:lang w:val="en-US" w:eastAsia="zh-CN"/>
                    </w:rPr>
                    <w:t>mg/L</w:t>
                  </w:r>
                </w:p>
              </w:tc>
              <w:tc>
                <w:tcPr>
                  <w:tcW w:w="52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 w:val="21"/>
                      <w:szCs w:val="21"/>
                      <w:vertAlign w:val="baseline"/>
                      <w:lang w:val="en-US" w:eastAsia="zh-CN"/>
                    </w:rPr>
                  </w:pPr>
                  <w:r>
                    <w:rPr>
                      <w:rFonts w:hint="default" w:ascii="Times New Roman" w:hAnsi="Times New Roman" w:eastAsia="仿宋" w:cs="Times New Roman"/>
                      <w:b/>
                      <w:bCs/>
                      <w:kern w:val="0"/>
                      <w:sz w:val="21"/>
                      <w:szCs w:val="21"/>
                      <w:vertAlign w:val="baseline"/>
                      <w:lang w:val="en-US" w:eastAsia="zh-CN"/>
                    </w:rPr>
                    <w:t>产生量</w:t>
                  </w:r>
                  <w:r>
                    <w:rPr>
                      <w:rFonts w:hint="default" w:ascii="Times New Roman" w:hAnsi="Times New Roman" w:eastAsia="仿宋" w:cs="Times New Roman"/>
                      <w:b/>
                      <w:bCs/>
                      <w:sz w:val="21"/>
                      <w:szCs w:val="21"/>
                    </w:rPr>
                    <w:t>t/a</w:t>
                  </w:r>
                </w:p>
              </w:tc>
              <w:tc>
                <w:tcPr>
                  <w:tcW w:w="66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 w:val="21"/>
                      <w:szCs w:val="21"/>
                      <w:vertAlign w:val="baseline"/>
                      <w:lang w:val="en-US" w:eastAsia="zh-CN"/>
                    </w:rPr>
                  </w:pPr>
                  <w:r>
                    <w:rPr>
                      <w:rFonts w:hint="default" w:ascii="Times New Roman" w:hAnsi="Times New Roman" w:eastAsia="仿宋" w:cs="Times New Roman"/>
                      <w:b/>
                      <w:bCs/>
                      <w:kern w:val="0"/>
                      <w:sz w:val="21"/>
                      <w:szCs w:val="21"/>
                      <w:vertAlign w:val="baseline"/>
                      <w:lang w:val="en-US" w:eastAsia="zh-CN"/>
                    </w:rPr>
                    <w:t>防治措施</w:t>
                  </w:r>
                </w:p>
              </w:tc>
              <w:tc>
                <w:tcPr>
                  <w:tcW w:w="52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 w:val="21"/>
                      <w:szCs w:val="21"/>
                      <w:vertAlign w:val="baseline"/>
                      <w:lang w:val="en-US" w:eastAsia="zh-CN"/>
                    </w:rPr>
                  </w:pPr>
                  <w:r>
                    <w:rPr>
                      <w:rFonts w:hint="default" w:ascii="Times New Roman" w:hAnsi="Times New Roman" w:eastAsia="仿宋" w:cs="Times New Roman"/>
                      <w:b/>
                      <w:bCs/>
                      <w:kern w:val="0"/>
                      <w:sz w:val="21"/>
                      <w:szCs w:val="21"/>
                      <w:vertAlign w:val="baseline"/>
                      <w:lang w:val="en-US" w:eastAsia="zh-CN"/>
                    </w:rPr>
                    <w:t>排放浓度</w:t>
                  </w:r>
                  <w:r>
                    <w:rPr>
                      <w:rFonts w:hint="eastAsia" w:eastAsia="仿宋" w:cs="Times New Roman"/>
                      <w:b/>
                      <w:bCs/>
                      <w:kern w:val="0"/>
                      <w:sz w:val="21"/>
                      <w:szCs w:val="21"/>
                      <w:vertAlign w:val="baseline"/>
                      <w:lang w:val="en-US" w:eastAsia="zh-CN"/>
                    </w:rPr>
                    <w:t>mg/L</w:t>
                  </w:r>
                </w:p>
              </w:tc>
              <w:tc>
                <w:tcPr>
                  <w:tcW w:w="44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 w:val="21"/>
                      <w:szCs w:val="21"/>
                      <w:vertAlign w:val="baseline"/>
                      <w:lang w:val="en-US" w:eastAsia="zh-CN"/>
                    </w:rPr>
                  </w:pPr>
                  <w:r>
                    <w:rPr>
                      <w:rFonts w:hint="default" w:ascii="Times New Roman" w:hAnsi="Times New Roman" w:eastAsia="仿宋" w:cs="Times New Roman"/>
                      <w:b/>
                      <w:bCs/>
                      <w:kern w:val="0"/>
                      <w:sz w:val="21"/>
                      <w:szCs w:val="21"/>
                      <w:vertAlign w:val="baseline"/>
                      <w:lang w:val="en-US" w:eastAsia="zh-CN"/>
                    </w:rPr>
                    <w:t>排放量</w:t>
                  </w:r>
                  <w:r>
                    <w:rPr>
                      <w:rFonts w:hint="eastAsia" w:eastAsia="仿宋" w:cs="Times New Roman"/>
                      <w:b/>
                      <w:bCs/>
                      <w:kern w:val="0"/>
                      <w:sz w:val="21"/>
                      <w:szCs w:val="21"/>
                      <w:vertAlign w:val="baseline"/>
                      <w:lang w:val="en-US" w:eastAsia="zh-CN"/>
                    </w:rPr>
                    <w:t>t/a</w:t>
                  </w:r>
                </w:p>
              </w:tc>
              <w:tc>
                <w:tcPr>
                  <w:tcW w:w="34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 w:val="21"/>
                      <w:szCs w:val="21"/>
                      <w:vertAlign w:val="baseline"/>
                      <w:lang w:val="en-US" w:eastAsia="zh-CN"/>
                    </w:rPr>
                  </w:pPr>
                  <w:r>
                    <w:rPr>
                      <w:rFonts w:hint="default" w:ascii="Times New Roman" w:hAnsi="Times New Roman" w:eastAsia="仿宋" w:cs="Times New Roman"/>
                      <w:b/>
                      <w:bCs/>
                      <w:kern w:val="0"/>
                      <w:sz w:val="21"/>
                      <w:szCs w:val="21"/>
                      <w:vertAlign w:val="baseline"/>
                      <w:lang w:val="en-US" w:eastAsia="zh-CN"/>
                    </w:rPr>
                    <w:t>浓度标准</w:t>
                  </w:r>
                  <w:r>
                    <w:rPr>
                      <w:rFonts w:hint="eastAsia" w:eastAsia="仿宋" w:cs="Times New Roman"/>
                      <w:b/>
                      <w:bCs/>
                      <w:kern w:val="0"/>
                      <w:sz w:val="21"/>
                      <w:szCs w:val="21"/>
                      <w:vertAlign w:val="baseline"/>
                      <w:lang w:val="en-US" w:eastAsia="zh-CN"/>
                    </w:rPr>
                    <w:t>mg/L</w:t>
                  </w:r>
                </w:p>
              </w:tc>
              <w:tc>
                <w:tcPr>
                  <w:tcW w:w="583"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 w:val="21"/>
                      <w:szCs w:val="21"/>
                      <w:vertAlign w:val="baseline"/>
                      <w:lang w:val="en-US" w:eastAsia="zh-CN"/>
                    </w:rPr>
                  </w:pPr>
                  <w:r>
                    <w:rPr>
                      <w:rFonts w:hint="default" w:ascii="Times New Roman" w:hAnsi="Times New Roman" w:eastAsia="仿宋" w:cs="Times New Roman"/>
                      <w:b/>
                      <w:bCs/>
                      <w:kern w:val="0"/>
                      <w:sz w:val="21"/>
                      <w:szCs w:val="21"/>
                      <w:vertAlign w:val="baseline"/>
                      <w:lang w:val="en-US" w:eastAsia="zh-CN"/>
                    </w:rPr>
                    <w:t>排放去向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26" w:type="pct"/>
                  <w:vMerge w:val="restart"/>
                  <w:tcBorders>
                    <w:tl2br w:val="nil"/>
                    <w:tr2bl w:val="nil"/>
                  </w:tcBorders>
                  <w:vAlign w:val="center"/>
                </w:tcPr>
                <w:p>
                  <w:pPr>
                    <w:pStyle w:val="40"/>
                    <w:keepNext w:val="0"/>
                    <w:keepLines w:val="0"/>
                    <w:pageBreakBefore w:val="0"/>
                    <w:kinsoku/>
                    <w:wordWrap/>
                    <w:overflowPunct/>
                    <w:topLinePunct w:val="0"/>
                    <w:bidi w:val="0"/>
                    <w:adjustRightInd w:val="0"/>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本项目</w:t>
                  </w:r>
                  <w:r>
                    <w:rPr>
                      <w:rFonts w:hint="default" w:ascii="Times New Roman" w:hAnsi="Times New Roman" w:eastAsia="仿宋" w:cs="Times New Roman"/>
                      <w:sz w:val="21"/>
                      <w:szCs w:val="21"/>
                    </w:rPr>
                    <w:t>综合废水</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eastAsia" w:eastAsia="仿宋" w:cs="Times New Roman"/>
                      <w:sz w:val="21"/>
                      <w:szCs w:val="21"/>
                      <w:lang w:val="en-US" w:eastAsia="zh-CN"/>
                    </w:rPr>
                    <w:t>192</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/a</w:t>
                  </w:r>
                </w:p>
              </w:tc>
              <w:tc>
                <w:tcPr>
                  <w:tcW w:w="712" w:type="pct"/>
                  <w:tcBorders>
                    <w:tl2br w:val="nil"/>
                    <w:tr2bl w:val="nil"/>
                  </w:tcBorders>
                  <w:vAlign w:val="center"/>
                </w:tcPr>
                <w:p>
                  <w:pPr>
                    <w:keepNext w:val="0"/>
                    <w:keepLines w:val="0"/>
                    <w:pageBreakBefore w:val="0"/>
                    <w:widowControl/>
                    <w:kinsoku/>
                    <w:wordWrap/>
                    <w:overflowPunct/>
                    <w:topLinePunct w:val="0"/>
                    <w:bidi w:val="0"/>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rPr>
                    <w:t>COD</w:t>
                  </w:r>
                </w:p>
              </w:tc>
              <w:tc>
                <w:tcPr>
                  <w:tcW w:w="802" w:type="dxa"/>
                  <w:tcBorders>
                    <w:tl2br w:val="nil"/>
                    <w:tr2bl w:val="nil"/>
                  </w:tcBorders>
                  <w:vAlign w:val="center"/>
                </w:tcPr>
                <w:p>
                  <w:pPr>
                    <w:keepNext w:val="0"/>
                    <w:keepLines w:val="0"/>
                    <w:pageBreakBefore w:val="0"/>
                    <w:widowControl/>
                    <w:kinsoku/>
                    <w:wordWrap/>
                    <w:overflowPunct/>
                    <w:topLinePunct w:val="0"/>
                    <w:bidi w:val="0"/>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auto"/>
                      <w:kern w:val="0"/>
                      <w:sz w:val="21"/>
                      <w:szCs w:val="21"/>
                      <w:highlight w:val="none"/>
                      <w:lang w:bidi="ar"/>
                    </w:rPr>
                    <w:t>450</w:t>
                  </w:r>
                </w:p>
              </w:tc>
              <w:tc>
                <w:tcPr>
                  <w:tcW w:w="8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i w:val="0"/>
                      <w:color w:val="000000"/>
                      <w:kern w:val="0"/>
                      <w:sz w:val="21"/>
                      <w:szCs w:val="21"/>
                      <w:u w:val="none"/>
                      <w:lang w:val="en-US" w:eastAsia="zh-CN" w:bidi="ar"/>
                    </w:rPr>
                    <w:t>0.</w:t>
                  </w:r>
                  <w:r>
                    <w:rPr>
                      <w:rFonts w:hint="eastAsia" w:eastAsia="仿宋" w:cs="Times New Roman"/>
                      <w:i w:val="0"/>
                      <w:color w:val="000000"/>
                      <w:kern w:val="0"/>
                      <w:sz w:val="21"/>
                      <w:szCs w:val="21"/>
                      <w:u w:val="none"/>
                      <w:lang w:val="en-US" w:eastAsia="zh-CN" w:bidi="ar"/>
                    </w:rPr>
                    <w:t>086</w:t>
                  </w:r>
                </w:p>
              </w:tc>
              <w:tc>
                <w:tcPr>
                  <w:tcW w:w="664" w:type="pct"/>
                  <w:vMerge w:val="restart"/>
                  <w:tcBorders>
                    <w:tl2br w:val="nil"/>
                    <w:tr2bl w:val="nil"/>
                  </w:tcBorders>
                  <w:vAlign w:val="center"/>
                </w:tcPr>
                <w:p>
                  <w:pPr>
                    <w:pStyle w:val="40"/>
                    <w:keepNext w:val="0"/>
                    <w:keepLines w:val="0"/>
                    <w:pageBreakBefore w:val="0"/>
                    <w:kinsoku/>
                    <w:wordWrap/>
                    <w:overflowPunct/>
                    <w:topLinePunct w:val="0"/>
                    <w:bidi w:val="0"/>
                    <w:snapToGrid w:val="0"/>
                    <w:spacing w:line="240" w:lineRule="auto"/>
                    <w:ind w:firstLine="0" w:firstLineChars="0"/>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rPr>
                    <w:t>化粪池</w:t>
                  </w:r>
                </w:p>
              </w:tc>
              <w:tc>
                <w:tcPr>
                  <w:tcW w:w="5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cs="Times New Roman"/>
                      <w:sz w:val="21"/>
                      <w:szCs w:val="21"/>
                      <w:lang w:val="en-US" w:eastAsia="zh-CN"/>
                    </w:rPr>
                    <w:t>40</w:t>
                  </w:r>
                  <w:r>
                    <w:rPr>
                      <w:rFonts w:hint="default" w:ascii="Times New Roman" w:hAnsi="Times New Roman" w:cs="Times New Roman"/>
                      <w:sz w:val="21"/>
                      <w:szCs w:val="21"/>
                    </w:rPr>
                    <w:t>0</w:t>
                  </w:r>
                </w:p>
              </w:tc>
              <w:tc>
                <w:tcPr>
                  <w:tcW w:w="4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eastAsia" w:ascii="Times New Roman" w:hAnsi="Times New Roman" w:eastAsia="宋体" w:cs="Times New Roman"/>
                      <w:i w:val="0"/>
                      <w:color w:val="000000"/>
                      <w:kern w:val="0"/>
                      <w:sz w:val="21"/>
                      <w:szCs w:val="21"/>
                      <w:u w:val="none"/>
                      <w:lang w:val="en-US" w:eastAsia="zh-CN" w:bidi="ar"/>
                    </w:rPr>
                    <w:t>0.077</w:t>
                  </w:r>
                </w:p>
              </w:tc>
              <w:tc>
                <w:tcPr>
                  <w:tcW w:w="344" w:type="pct"/>
                  <w:tcBorders>
                    <w:tl2br w:val="nil"/>
                    <w:tr2bl w:val="nil"/>
                  </w:tcBorders>
                  <w:vAlign w:val="center"/>
                </w:tcPr>
                <w:p>
                  <w:pPr>
                    <w:keepNext w:val="0"/>
                    <w:keepLines w:val="0"/>
                    <w:pageBreakBefore w:val="0"/>
                    <w:kinsoku/>
                    <w:wordWrap/>
                    <w:overflowPunct/>
                    <w:topLinePunct w:val="0"/>
                    <w:bidi w:val="0"/>
                    <w:snapToGrid w:val="0"/>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eastAsia="宋体" w:cs="Times New Roman"/>
                      <w:color w:val="auto"/>
                      <w:kern w:val="0"/>
                      <w:sz w:val="21"/>
                      <w:szCs w:val="21"/>
                      <w:highlight w:val="none"/>
                    </w:rPr>
                    <w:t>500</w:t>
                  </w:r>
                </w:p>
              </w:tc>
              <w:tc>
                <w:tcPr>
                  <w:tcW w:w="583"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接管至郑陆污水处理有限公司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26"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712" w:type="pct"/>
                  <w:tcBorders>
                    <w:tl2br w:val="nil"/>
                    <w:tr2bl w:val="nil"/>
                  </w:tcBorders>
                  <w:vAlign w:val="center"/>
                </w:tcPr>
                <w:p>
                  <w:pPr>
                    <w:keepNext w:val="0"/>
                    <w:keepLines w:val="0"/>
                    <w:pageBreakBefore w:val="0"/>
                    <w:widowControl/>
                    <w:kinsoku/>
                    <w:wordWrap/>
                    <w:overflowPunct/>
                    <w:topLinePunct w:val="0"/>
                    <w:bidi w:val="0"/>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rPr>
                    <w:t>SS</w:t>
                  </w:r>
                </w:p>
              </w:tc>
              <w:tc>
                <w:tcPr>
                  <w:tcW w:w="802" w:type="dxa"/>
                  <w:tcBorders>
                    <w:tl2br w:val="nil"/>
                    <w:tr2bl w:val="nil"/>
                  </w:tcBorders>
                  <w:vAlign w:val="center"/>
                </w:tcPr>
                <w:p>
                  <w:pPr>
                    <w:keepNext w:val="0"/>
                    <w:keepLines w:val="0"/>
                    <w:pageBreakBefore w:val="0"/>
                    <w:widowControl/>
                    <w:kinsoku/>
                    <w:wordWrap/>
                    <w:overflowPunct/>
                    <w:topLinePunct w:val="0"/>
                    <w:bidi w:val="0"/>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auto"/>
                      <w:kern w:val="0"/>
                      <w:sz w:val="21"/>
                      <w:szCs w:val="21"/>
                      <w:highlight w:val="none"/>
                      <w:lang w:bidi="ar"/>
                    </w:rPr>
                    <w:t>350</w:t>
                  </w:r>
                </w:p>
              </w:tc>
              <w:tc>
                <w:tcPr>
                  <w:tcW w:w="8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i w:val="0"/>
                      <w:color w:val="000000"/>
                      <w:kern w:val="0"/>
                      <w:sz w:val="21"/>
                      <w:szCs w:val="21"/>
                      <w:u w:val="none"/>
                      <w:lang w:val="en-US" w:eastAsia="zh-CN" w:bidi="ar"/>
                    </w:rPr>
                    <w:t>0.0</w:t>
                  </w:r>
                  <w:r>
                    <w:rPr>
                      <w:rFonts w:hint="eastAsia" w:eastAsia="仿宋" w:cs="Times New Roman"/>
                      <w:i w:val="0"/>
                      <w:color w:val="000000"/>
                      <w:kern w:val="0"/>
                      <w:sz w:val="21"/>
                      <w:szCs w:val="21"/>
                      <w:u w:val="none"/>
                      <w:lang w:val="en-US" w:eastAsia="zh-CN" w:bidi="ar"/>
                    </w:rPr>
                    <w:t>67</w:t>
                  </w:r>
                </w:p>
              </w:tc>
              <w:tc>
                <w:tcPr>
                  <w:tcW w:w="664"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5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00</w:t>
                  </w:r>
                </w:p>
              </w:tc>
              <w:tc>
                <w:tcPr>
                  <w:tcW w:w="4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eastAsia" w:ascii="Times New Roman" w:hAnsi="Times New Roman" w:eastAsia="宋体" w:cs="Times New Roman"/>
                      <w:i w:val="0"/>
                      <w:color w:val="000000"/>
                      <w:kern w:val="0"/>
                      <w:sz w:val="21"/>
                      <w:szCs w:val="21"/>
                      <w:u w:val="none"/>
                      <w:lang w:val="en-US" w:eastAsia="zh-CN" w:bidi="ar"/>
                    </w:rPr>
                    <w:t>0.058</w:t>
                  </w:r>
                </w:p>
              </w:tc>
              <w:tc>
                <w:tcPr>
                  <w:tcW w:w="344" w:type="pct"/>
                  <w:tcBorders>
                    <w:tl2br w:val="nil"/>
                    <w:tr2bl w:val="nil"/>
                  </w:tcBorders>
                  <w:vAlign w:val="center"/>
                </w:tcPr>
                <w:p>
                  <w:pPr>
                    <w:keepNext w:val="0"/>
                    <w:keepLines w:val="0"/>
                    <w:pageBreakBefore w:val="0"/>
                    <w:kinsoku/>
                    <w:wordWrap/>
                    <w:overflowPunct/>
                    <w:topLinePunct w:val="0"/>
                    <w:bidi w:val="0"/>
                    <w:snapToGrid w:val="0"/>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eastAsia="宋体" w:cs="Times New Roman"/>
                      <w:color w:val="auto"/>
                      <w:kern w:val="0"/>
                      <w:sz w:val="21"/>
                      <w:szCs w:val="21"/>
                      <w:highlight w:val="none"/>
                    </w:rPr>
                    <w:t>400</w:t>
                  </w:r>
                </w:p>
              </w:tc>
              <w:tc>
                <w:tcPr>
                  <w:tcW w:w="58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26"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712" w:type="pct"/>
                  <w:tcBorders>
                    <w:tl2br w:val="nil"/>
                    <w:tr2bl w:val="nil"/>
                  </w:tcBorders>
                  <w:vAlign w:val="center"/>
                </w:tcPr>
                <w:p>
                  <w:pPr>
                    <w:keepNext w:val="0"/>
                    <w:keepLines w:val="0"/>
                    <w:pageBreakBefore w:val="0"/>
                    <w:widowControl/>
                    <w:kinsoku/>
                    <w:wordWrap/>
                    <w:overflowPunct/>
                    <w:topLinePunct w:val="0"/>
                    <w:bidi w:val="0"/>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rPr>
                    <w:t>NH</w:t>
                  </w:r>
                  <w:r>
                    <w:rPr>
                      <w:rFonts w:hint="default" w:ascii="Times New Roman" w:hAnsi="Times New Roman" w:eastAsia="仿宋" w:cs="Times New Roman"/>
                      <w:sz w:val="21"/>
                      <w:szCs w:val="21"/>
                      <w:vertAlign w:val="subscript"/>
                    </w:rPr>
                    <w:t>3</w:t>
                  </w:r>
                  <w:r>
                    <w:rPr>
                      <w:rFonts w:hint="default" w:ascii="Times New Roman" w:hAnsi="Times New Roman" w:eastAsia="仿宋" w:cs="Times New Roman"/>
                      <w:sz w:val="21"/>
                      <w:szCs w:val="21"/>
                    </w:rPr>
                    <w:t>-N</w:t>
                  </w:r>
                </w:p>
              </w:tc>
              <w:tc>
                <w:tcPr>
                  <w:tcW w:w="802" w:type="dxa"/>
                  <w:tcBorders>
                    <w:tl2br w:val="nil"/>
                    <w:tr2bl w:val="nil"/>
                  </w:tcBorders>
                  <w:vAlign w:val="center"/>
                </w:tcPr>
                <w:p>
                  <w:pPr>
                    <w:keepNext w:val="0"/>
                    <w:keepLines w:val="0"/>
                    <w:pageBreakBefore w:val="0"/>
                    <w:widowControl/>
                    <w:kinsoku/>
                    <w:wordWrap/>
                    <w:overflowPunct/>
                    <w:topLinePunct w:val="0"/>
                    <w:bidi w:val="0"/>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auto"/>
                      <w:kern w:val="0"/>
                      <w:sz w:val="21"/>
                      <w:szCs w:val="21"/>
                      <w:highlight w:val="none"/>
                      <w:lang w:bidi="ar"/>
                    </w:rPr>
                    <w:t>30</w:t>
                  </w:r>
                </w:p>
              </w:tc>
              <w:tc>
                <w:tcPr>
                  <w:tcW w:w="8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i w:val="0"/>
                      <w:color w:val="000000"/>
                      <w:kern w:val="0"/>
                      <w:sz w:val="21"/>
                      <w:szCs w:val="21"/>
                      <w:u w:val="none"/>
                      <w:lang w:val="en-US" w:eastAsia="zh-CN" w:bidi="ar"/>
                    </w:rPr>
                    <w:t>0.00</w:t>
                  </w:r>
                  <w:r>
                    <w:rPr>
                      <w:rFonts w:hint="eastAsia" w:eastAsia="仿宋" w:cs="Times New Roman"/>
                      <w:i w:val="0"/>
                      <w:color w:val="000000"/>
                      <w:kern w:val="0"/>
                      <w:sz w:val="21"/>
                      <w:szCs w:val="21"/>
                      <w:u w:val="none"/>
                      <w:lang w:val="en-US" w:eastAsia="zh-CN" w:bidi="ar"/>
                    </w:rPr>
                    <w:t>6</w:t>
                  </w:r>
                </w:p>
              </w:tc>
              <w:tc>
                <w:tcPr>
                  <w:tcW w:w="664"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5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cs="Times New Roman"/>
                      <w:sz w:val="21"/>
                      <w:szCs w:val="21"/>
                    </w:rPr>
                    <w:t>3</w:t>
                  </w:r>
                  <w:r>
                    <w:rPr>
                      <w:rFonts w:hint="default" w:ascii="Times New Roman" w:hAnsi="Times New Roman" w:cs="Times New Roman"/>
                      <w:sz w:val="21"/>
                      <w:szCs w:val="21"/>
                      <w:lang w:val="en-US" w:eastAsia="zh-CN"/>
                    </w:rPr>
                    <w:t>0</w:t>
                  </w:r>
                </w:p>
              </w:tc>
              <w:tc>
                <w:tcPr>
                  <w:tcW w:w="4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eastAsia" w:cs="Times New Roman"/>
                      <w:color w:val="auto"/>
                      <w:kern w:val="0"/>
                      <w:sz w:val="21"/>
                      <w:szCs w:val="21"/>
                      <w:highlight w:val="none"/>
                      <w:lang w:val="en-US" w:eastAsia="zh-CN" w:bidi="ar"/>
                    </w:rPr>
                    <w:t>0.006</w:t>
                  </w:r>
                </w:p>
              </w:tc>
              <w:tc>
                <w:tcPr>
                  <w:tcW w:w="344" w:type="pct"/>
                  <w:tcBorders>
                    <w:tl2br w:val="nil"/>
                    <w:tr2bl w:val="nil"/>
                  </w:tcBorders>
                  <w:vAlign w:val="center"/>
                </w:tcPr>
                <w:p>
                  <w:pPr>
                    <w:keepNext w:val="0"/>
                    <w:keepLines w:val="0"/>
                    <w:pageBreakBefore w:val="0"/>
                    <w:kinsoku/>
                    <w:wordWrap/>
                    <w:overflowPunct/>
                    <w:topLinePunct w:val="0"/>
                    <w:bidi w:val="0"/>
                    <w:snapToGrid w:val="0"/>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eastAsia" w:cs="Times New Roman"/>
                      <w:color w:val="auto"/>
                      <w:kern w:val="0"/>
                      <w:sz w:val="21"/>
                      <w:szCs w:val="21"/>
                      <w:highlight w:val="none"/>
                      <w:lang w:val="en-US" w:eastAsia="zh-CN"/>
                    </w:rPr>
                    <w:t>3</w:t>
                  </w:r>
                  <w:r>
                    <w:rPr>
                      <w:rFonts w:hint="default" w:eastAsia="宋体" w:cs="Times New Roman"/>
                      <w:color w:val="auto"/>
                      <w:kern w:val="0"/>
                      <w:sz w:val="21"/>
                      <w:szCs w:val="21"/>
                      <w:highlight w:val="none"/>
                    </w:rPr>
                    <w:t>5</w:t>
                  </w:r>
                </w:p>
              </w:tc>
              <w:tc>
                <w:tcPr>
                  <w:tcW w:w="58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26"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712" w:type="pct"/>
                  <w:tcBorders>
                    <w:tl2br w:val="nil"/>
                    <w:tr2bl w:val="nil"/>
                  </w:tcBorders>
                  <w:vAlign w:val="center"/>
                </w:tcPr>
                <w:p>
                  <w:pPr>
                    <w:keepNext w:val="0"/>
                    <w:keepLines w:val="0"/>
                    <w:pageBreakBefore w:val="0"/>
                    <w:widowControl/>
                    <w:kinsoku/>
                    <w:wordWrap/>
                    <w:overflowPunct/>
                    <w:topLinePunct w:val="0"/>
                    <w:bidi w:val="0"/>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rPr>
                    <w:t>TP</w:t>
                  </w:r>
                </w:p>
              </w:tc>
              <w:tc>
                <w:tcPr>
                  <w:tcW w:w="802" w:type="dxa"/>
                  <w:tcBorders>
                    <w:tl2br w:val="nil"/>
                    <w:tr2bl w:val="nil"/>
                  </w:tcBorders>
                  <w:vAlign w:val="center"/>
                </w:tcPr>
                <w:p>
                  <w:pPr>
                    <w:keepNext w:val="0"/>
                    <w:keepLines w:val="0"/>
                    <w:pageBreakBefore w:val="0"/>
                    <w:widowControl/>
                    <w:kinsoku/>
                    <w:wordWrap/>
                    <w:overflowPunct/>
                    <w:topLinePunct w:val="0"/>
                    <w:bidi w:val="0"/>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eastAsia" w:eastAsia="仿宋" w:cs="Times New Roman"/>
                      <w:color w:val="auto"/>
                      <w:kern w:val="0"/>
                      <w:sz w:val="21"/>
                      <w:szCs w:val="21"/>
                      <w:highlight w:val="none"/>
                      <w:lang w:val="en-US" w:eastAsia="zh-CN" w:bidi="ar"/>
                    </w:rPr>
                    <w:t>3</w:t>
                  </w:r>
                </w:p>
              </w:tc>
              <w:tc>
                <w:tcPr>
                  <w:tcW w:w="8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i w:val="0"/>
                      <w:color w:val="000000"/>
                      <w:kern w:val="0"/>
                      <w:sz w:val="21"/>
                      <w:szCs w:val="21"/>
                      <w:u w:val="none"/>
                      <w:lang w:val="en-US" w:eastAsia="zh-CN" w:bidi="ar"/>
                    </w:rPr>
                    <w:t>0.001</w:t>
                  </w:r>
                </w:p>
              </w:tc>
              <w:tc>
                <w:tcPr>
                  <w:tcW w:w="664"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5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eastAsia" w:cs="Times New Roman"/>
                      <w:sz w:val="21"/>
                      <w:szCs w:val="21"/>
                      <w:lang w:val="en-US" w:eastAsia="zh-CN"/>
                    </w:rPr>
                    <w:t>3</w:t>
                  </w:r>
                </w:p>
              </w:tc>
              <w:tc>
                <w:tcPr>
                  <w:tcW w:w="4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eastAsia" w:cs="Times New Roman"/>
                      <w:color w:val="auto"/>
                      <w:kern w:val="0"/>
                      <w:sz w:val="21"/>
                      <w:szCs w:val="21"/>
                      <w:highlight w:val="none"/>
                      <w:lang w:val="en-US" w:eastAsia="zh-CN" w:bidi="ar"/>
                    </w:rPr>
                    <w:t>0.001</w:t>
                  </w:r>
                </w:p>
              </w:tc>
              <w:tc>
                <w:tcPr>
                  <w:tcW w:w="344" w:type="pct"/>
                  <w:tcBorders>
                    <w:tl2br w:val="nil"/>
                    <w:tr2bl w:val="nil"/>
                  </w:tcBorders>
                  <w:vAlign w:val="center"/>
                </w:tcPr>
                <w:p>
                  <w:pPr>
                    <w:keepNext w:val="0"/>
                    <w:keepLines w:val="0"/>
                    <w:pageBreakBefore w:val="0"/>
                    <w:kinsoku/>
                    <w:wordWrap/>
                    <w:overflowPunct/>
                    <w:topLinePunct w:val="0"/>
                    <w:bidi w:val="0"/>
                    <w:snapToGrid w:val="0"/>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eastAsia="宋体" w:cs="Times New Roman"/>
                      <w:color w:val="auto"/>
                      <w:kern w:val="0"/>
                      <w:sz w:val="21"/>
                      <w:szCs w:val="21"/>
                      <w:highlight w:val="none"/>
                    </w:rPr>
                    <w:t>8</w:t>
                  </w:r>
                </w:p>
              </w:tc>
              <w:tc>
                <w:tcPr>
                  <w:tcW w:w="58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26"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712" w:type="pct"/>
                  <w:tcBorders>
                    <w:tl2br w:val="nil"/>
                    <w:tr2bl w:val="nil"/>
                  </w:tcBorders>
                  <w:vAlign w:val="center"/>
                </w:tcPr>
                <w:p>
                  <w:pPr>
                    <w:keepNext w:val="0"/>
                    <w:keepLines w:val="0"/>
                    <w:pageBreakBefore w:val="0"/>
                    <w:widowControl/>
                    <w:kinsoku/>
                    <w:wordWrap/>
                    <w:overflowPunct/>
                    <w:topLinePunct w:val="0"/>
                    <w:bidi w:val="0"/>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sz w:val="21"/>
                      <w:szCs w:val="21"/>
                    </w:rPr>
                    <w:t>TN</w:t>
                  </w:r>
                </w:p>
              </w:tc>
              <w:tc>
                <w:tcPr>
                  <w:tcW w:w="802" w:type="dxa"/>
                  <w:tcBorders>
                    <w:tl2br w:val="nil"/>
                    <w:tr2bl w:val="nil"/>
                  </w:tcBorders>
                  <w:vAlign w:val="center"/>
                </w:tcPr>
                <w:p>
                  <w:pPr>
                    <w:keepNext w:val="0"/>
                    <w:keepLines w:val="0"/>
                    <w:pageBreakBefore w:val="0"/>
                    <w:widowControl/>
                    <w:kinsoku/>
                    <w:wordWrap/>
                    <w:overflowPunct/>
                    <w:topLinePunct w:val="0"/>
                    <w:bidi w:val="0"/>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auto"/>
                      <w:kern w:val="0"/>
                      <w:sz w:val="21"/>
                      <w:szCs w:val="21"/>
                      <w:highlight w:val="none"/>
                      <w:lang w:bidi="ar"/>
                    </w:rPr>
                    <w:t>50</w:t>
                  </w:r>
                </w:p>
              </w:tc>
              <w:tc>
                <w:tcPr>
                  <w:tcW w:w="8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i w:val="0"/>
                      <w:color w:val="000000"/>
                      <w:kern w:val="0"/>
                      <w:sz w:val="21"/>
                      <w:szCs w:val="21"/>
                      <w:u w:val="none"/>
                      <w:lang w:val="en-US" w:eastAsia="zh-CN" w:bidi="ar"/>
                    </w:rPr>
                    <w:t>0.0</w:t>
                  </w:r>
                  <w:r>
                    <w:rPr>
                      <w:rFonts w:hint="eastAsia" w:eastAsia="仿宋" w:cs="Times New Roman"/>
                      <w:i w:val="0"/>
                      <w:color w:val="000000"/>
                      <w:kern w:val="0"/>
                      <w:sz w:val="21"/>
                      <w:szCs w:val="21"/>
                      <w:u w:val="none"/>
                      <w:lang w:val="en-US" w:eastAsia="zh-CN" w:bidi="ar"/>
                    </w:rPr>
                    <w:t>096</w:t>
                  </w:r>
                </w:p>
              </w:tc>
              <w:tc>
                <w:tcPr>
                  <w:tcW w:w="664"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c>
                <w:tcPr>
                  <w:tcW w:w="5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eastAsia" w:ascii="Times New Roman" w:hAnsi="Times New Roman" w:cs="Times New Roman"/>
                      <w:sz w:val="21"/>
                      <w:szCs w:val="21"/>
                      <w:lang w:val="en-US" w:eastAsia="zh-CN"/>
                    </w:rPr>
                    <w:t>50</w:t>
                  </w:r>
                </w:p>
              </w:tc>
              <w:tc>
                <w:tcPr>
                  <w:tcW w:w="4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eastAsia" w:cs="Times New Roman"/>
                      <w:color w:val="auto"/>
                      <w:kern w:val="0"/>
                      <w:sz w:val="21"/>
                      <w:szCs w:val="21"/>
                      <w:highlight w:val="none"/>
                      <w:lang w:val="en-US" w:eastAsia="zh-CN" w:bidi="ar"/>
                    </w:rPr>
                    <w:t>0.0096</w:t>
                  </w:r>
                </w:p>
              </w:tc>
              <w:tc>
                <w:tcPr>
                  <w:tcW w:w="344" w:type="pct"/>
                  <w:tcBorders>
                    <w:tl2br w:val="nil"/>
                    <w:tr2bl w:val="nil"/>
                  </w:tcBorders>
                  <w:vAlign w:val="center"/>
                </w:tcPr>
                <w:p>
                  <w:pPr>
                    <w:keepNext w:val="0"/>
                    <w:keepLines w:val="0"/>
                    <w:pageBreakBefore w:val="0"/>
                    <w:kinsoku/>
                    <w:wordWrap/>
                    <w:overflowPunct/>
                    <w:topLinePunct w:val="0"/>
                    <w:bidi w:val="0"/>
                    <w:snapToGrid w:val="0"/>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eastAsia="宋体" w:cs="Times New Roman"/>
                      <w:color w:val="auto"/>
                      <w:kern w:val="0"/>
                      <w:sz w:val="21"/>
                      <w:szCs w:val="21"/>
                      <w:highlight w:val="none"/>
                    </w:rPr>
                    <w:t>70</w:t>
                  </w:r>
                </w:p>
              </w:tc>
              <w:tc>
                <w:tcPr>
                  <w:tcW w:w="58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由上表可知，经处理系统处理后的废水中各污染物浓度可确保达到《污水排入城镇下水 道水质标准》（GB/T31962-2015）表一中</w:t>
            </w:r>
            <w:r>
              <w:rPr>
                <w:rFonts w:hint="default" w:ascii="Times New Roman" w:hAnsi="Times New Roman" w:eastAsia="仿宋" w:cs="Times New Roman"/>
                <w:kern w:val="0"/>
                <w:sz w:val="24"/>
                <w:szCs w:val="24"/>
                <w:lang w:val="en-US" w:eastAsia="zh-CN"/>
              </w:rPr>
              <w:t>B</w:t>
            </w:r>
            <w:r>
              <w:rPr>
                <w:rFonts w:hint="eastAsia" w:ascii="Times New Roman" w:hAnsi="Times New Roman" w:eastAsia="仿宋" w:cs="Times New Roman"/>
                <w:kern w:val="0"/>
                <w:sz w:val="24"/>
                <w:szCs w:val="24"/>
                <w:lang w:val="en-US" w:eastAsia="zh-CN"/>
              </w:rPr>
              <w:t>等级标准</w:t>
            </w:r>
            <w:r>
              <w:rPr>
                <w:rFonts w:hint="eastAsia" w:eastAsia="仿宋" w:cs="Times New Roman"/>
                <w:kern w:val="0"/>
                <w:sz w:val="24"/>
                <w:szCs w:val="24"/>
                <w:lang w:val="en-US" w:eastAsia="zh-CN"/>
              </w:rPr>
              <w:t>及郑陆污水处理有限公司接管标准较严格限值</w:t>
            </w:r>
            <w:r>
              <w:rPr>
                <w:rFonts w:hint="eastAsia" w:ascii="Times New Roman" w:hAnsi="Times New Roman" w:eastAsia="仿宋" w:cs="Times New Roman"/>
                <w:kern w:val="0"/>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（4）排放口基本信息</w:t>
            </w:r>
          </w:p>
          <w:p>
            <w:pPr>
              <w:adjustRightInd w:val="0"/>
              <w:snapToGrid w:val="0"/>
              <w:spacing w:line="240" w:lineRule="auto"/>
              <w:ind w:firstLine="0" w:firstLineChars="0"/>
              <w:jc w:val="center"/>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sz w:val="24"/>
                <w:highlight w:val="none"/>
                <w:lang w:val="en-US" w:eastAsia="zh-CN"/>
              </w:rPr>
              <w:t>表4-21废水污染物排放执行标准表</w:t>
            </w:r>
          </w:p>
          <w:tbl>
            <w:tblPr>
              <w:tblStyle w:val="18"/>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355"/>
              <w:gridCol w:w="1355"/>
              <w:gridCol w:w="3728"/>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restart"/>
                  <w:noWrap w:val="0"/>
                  <w:vAlign w:val="center"/>
                </w:tcPr>
                <w:p>
                  <w:pPr>
                    <w:pStyle w:val="2"/>
                    <w:jc w:val="center"/>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序号</w:t>
                  </w:r>
                </w:p>
              </w:tc>
              <w:tc>
                <w:tcPr>
                  <w:tcW w:w="1355" w:type="dxa"/>
                  <w:vMerge w:val="restart"/>
                  <w:noWrap w:val="0"/>
                  <w:vAlign w:val="center"/>
                </w:tcPr>
                <w:p>
                  <w:pPr>
                    <w:pStyle w:val="2"/>
                    <w:jc w:val="center"/>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排放口编号</w:t>
                  </w:r>
                </w:p>
              </w:tc>
              <w:tc>
                <w:tcPr>
                  <w:tcW w:w="1355" w:type="dxa"/>
                  <w:vMerge w:val="restart"/>
                  <w:noWrap w:val="0"/>
                  <w:vAlign w:val="center"/>
                </w:tcPr>
                <w:p>
                  <w:pPr>
                    <w:pStyle w:val="2"/>
                    <w:jc w:val="center"/>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污染物种类</w:t>
                  </w:r>
                </w:p>
              </w:tc>
              <w:tc>
                <w:tcPr>
                  <w:tcW w:w="5026" w:type="dxa"/>
                  <w:gridSpan w:val="2"/>
                  <w:noWrap w:val="0"/>
                  <w:vAlign w:val="center"/>
                </w:tcPr>
                <w:p>
                  <w:pPr>
                    <w:pStyle w:val="2"/>
                    <w:jc w:val="center"/>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noWrap w:val="0"/>
                  <w:vAlign w:val="center"/>
                </w:tcPr>
                <w:p>
                  <w:pPr>
                    <w:pStyle w:val="2"/>
                    <w:jc w:val="center"/>
                    <w:rPr>
                      <w:rFonts w:hint="default" w:ascii="Times New Roman" w:hAnsi="Times New Roman" w:eastAsia="仿宋" w:cs="Times New Roman"/>
                      <w:b/>
                      <w:bCs/>
                      <w:sz w:val="21"/>
                      <w:szCs w:val="21"/>
                      <w:vertAlign w:val="baseline"/>
                      <w:lang w:val="en-US" w:eastAsia="zh-CN"/>
                    </w:rPr>
                  </w:pPr>
                </w:p>
              </w:tc>
              <w:tc>
                <w:tcPr>
                  <w:tcW w:w="1355" w:type="dxa"/>
                  <w:vMerge w:val="continue"/>
                  <w:noWrap w:val="0"/>
                  <w:vAlign w:val="center"/>
                </w:tcPr>
                <w:p>
                  <w:pPr>
                    <w:pStyle w:val="2"/>
                    <w:jc w:val="center"/>
                    <w:rPr>
                      <w:rFonts w:hint="default" w:ascii="Times New Roman" w:hAnsi="Times New Roman" w:eastAsia="仿宋" w:cs="Times New Roman"/>
                      <w:b/>
                      <w:bCs/>
                      <w:sz w:val="21"/>
                      <w:szCs w:val="21"/>
                      <w:vertAlign w:val="baseline"/>
                      <w:lang w:val="en-US" w:eastAsia="zh-CN"/>
                    </w:rPr>
                  </w:pPr>
                </w:p>
              </w:tc>
              <w:tc>
                <w:tcPr>
                  <w:tcW w:w="1355" w:type="dxa"/>
                  <w:vMerge w:val="continue"/>
                  <w:noWrap w:val="0"/>
                  <w:vAlign w:val="center"/>
                </w:tcPr>
                <w:p>
                  <w:pPr>
                    <w:pStyle w:val="2"/>
                    <w:jc w:val="center"/>
                    <w:rPr>
                      <w:rFonts w:hint="default" w:ascii="Times New Roman" w:hAnsi="Times New Roman" w:eastAsia="仿宋" w:cs="Times New Roman"/>
                      <w:b/>
                      <w:bCs/>
                      <w:sz w:val="21"/>
                      <w:szCs w:val="21"/>
                      <w:vertAlign w:val="baseline"/>
                      <w:lang w:val="en-US" w:eastAsia="zh-CN"/>
                    </w:rPr>
                  </w:pPr>
                </w:p>
              </w:tc>
              <w:tc>
                <w:tcPr>
                  <w:tcW w:w="3728" w:type="dxa"/>
                  <w:noWrap w:val="0"/>
                  <w:vAlign w:val="center"/>
                </w:tcPr>
                <w:p>
                  <w:pPr>
                    <w:pStyle w:val="2"/>
                    <w:jc w:val="center"/>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名称</w:t>
                  </w:r>
                </w:p>
              </w:tc>
              <w:tc>
                <w:tcPr>
                  <w:tcW w:w="1298" w:type="dxa"/>
                  <w:noWrap w:val="0"/>
                  <w:vAlign w:val="center"/>
                </w:tcPr>
                <w:p>
                  <w:pPr>
                    <w:pStyle w:val="2"/>
                    <w:jc w:val="center"/>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restart"/>
                  <w:noWrap w:val="0"/>
                  <w:vAlign w:val="center"/>
                </w:tcPr>
                <w:p>
                  <w:pPr>
                    <w:pStyle w:val="2"/>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w:t>
                  </w:r>
                </w:p>
              </w:tc>
              <w:tc>
                <w:tcPr>
                  <w:tcW w:w="1355" w:type="dxa"/>
                  <w:vMerge w:val="restart"/>
                  <w:noWrap w:val="0"/>
                  <w:vAlign w:val="center"/>
                </w:tcPr>
                <w:p>
                  <w:pPr>
                    <w:pStyle w:val="2"/>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DW-001</w:t>
                  </w:r>
                </w:p>
              </w:tc>
              <w:tc>
                <w:tcPr>
                  <w:tcW w:w="1355" w:type="dxa"/>
                  <w:noWrap w:val="0"/>
                  <w:vAlign w:val="center"/>
                </w:tcPr>
                <w:p>
                  <w:pPr>
                    <w:pStyle w:val="2"/>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COD</w:t>
                  </w:r>
                </w:p>
              </w:tc>
              <w:tc>
                <w:tcPr>
                  <w:tcW w:w="3728" w:type="dxa"/>
                  <w:vMerge w:val="restart"/>
                  <w:noWrap w:val="0"/>
                  <w:vAlign w:val="center"/>
                </w:tcPr>
                <w:p>
                  <w:pPr>
                    <w:pStyle w:val="2"/>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《污水排入城镇下水道水质标准》（GB/T31962-2015）中标准与郑陆污水处理接管标准中较严格限值</w:t>
                  </w:r>
                </w:p>
              </w:tc>
              <w:tc>
                <w:tcPr>
                  <w:tcW w:w="1298" w:type="dxa"/>
                  <w:noWrap w:val="0"/>
                  <w:vAlign w:val="center"/>
                </w:tcPr>
                <w:p>
                  <w:pPr>
                    <w:spacing w:line="240" w:lineRule="auto"/>
                    <w:ind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color w:val="auto"/>
                      <w:sz w:val="21"/>
                      <w:szCs w:val="21"/>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noWrap w:val="0"/>
                  <w:vAlign w:val="center"/>
                </w:tcPr>
                <w:p>
                  <w:pPr>
                    <w:pStyle w:val="2"/>
                    <w:jc w:val="center"/>
                    <w:rPr>
                      <w:rFonts w:hint="default" w:ascii="Times New Roman" w:hAnsi="Times New Roman" w:eastAsia="仿宋" w:cs="Times New Roman"/>
                      <w:sz w:val="21"/>
                      <w:szCs w:val="21"/>
                      <w:vertAlign w:val="baseline"/>
                      <w:lang w:val="en-US" w:eastAsia="zh-CN"/>
                    </w:rPr>
                  </w:pPr>
                </w:p>
              </w:tc>
              <w:tc>
                <w:tcPr>
                  <w:tcW w:w="1355" w:type="dxa"/>
                  <w:vMerge w:val="continue"/>
                  <w:noWrap w:val="0"/>
                  <w:vAlign w:val="center"/>
                </w:tcPr>
                <w:p>
                  <w:pPr>
                    <w:pStyle w:val="2"/>
                    <w:jc w:val="center"/>
                    <w:rPr>
                      <w:rFonts w:hint="default" w:ascii="Times New Roman" w:hAnsi="Times New Roman" w:eastAsia="仿宋" w:cs="Times New Roman"/>
                      <w:sz w:val="21"/>
                      <w:szCs w:val="21"/>
                      <w:vertAlign w:val="baseline"/>
                      <w:lang w:val="en-US" w:eastAsia="zh-CN"/>
                    </w:rPr>
                  </w:pPr>
                </w:p>
              </w:tc>
              <w:tc>
                <w:tcPr>
                  <w:tcW w:w="1355" w:type="dxa"/>
                  <w:noWrap w:val="0"/>
                  <w:vAlign w:val="center"/>
                </w:tcPr>
                <w:p>
                  <w:pPr>
                    <w:pStyle w:val="2"/>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SS</w:t>
                  </w:r>
                </w:p>
              </w:tc>
              <w:tc>
                <w:tcPr>
                  <w:tcW w:w="3728" w:type="dxa"/>
                  <w:vMerge w:val="continue"/>
                  <w:noWrap w:val="0"/>
                  <w:vAlign w:val="center"/>
                </w:tcPr>
                <w:p>
                  <w:pPr>
                    <w:pStyle w:val="2"/>
                    <w:jc w:val="center"/>
                    <w:rPr>
                      <w:rFonts w:hint="default" w:ascii="Times New Roman" w:hAnsi="Times New Roman" w:eastAsia="仿宋" w:cs="Times New Roman"/>
                      <w:sz w:val="21"/>
                      <w:szCs w:val="21"/>
                      <w:vertAlign w:val="baseline"/>
                      <w:lang w:val="en-US" w:eastAsia="zh-CN"/>
                    </w:rPr>
                  </w:pPr>
                </w:p>
              </w:tc>
              <w:tc>
                <w:tcPr>
                  <w:tcW w:w="1298" w:type="dxa"/>
                  <w:noWrap w:val="0"/>
                  <w:vAlign w:val="center"/>
                </w:tcPr>
                <w:p>
                  <w:pPr>
                    <w:spacing w:line="240" w:lineRule="auto"/>
                    <w:ind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noWrap w:val="0"/>
                  <w:vAlign w:val="center"/>
                </w:tcPr>
                <w:p>
                  <w:pPr>
                    <w:pStyle w:val="2"/>
                    <w:jc w:val="center"/>
                    <w:rPr>
                      <w:rFonts w:hint="default" w:ascii="Times New Roman" w:hAnsi="Times New Roman" w:eastAsia="仿宋" w:cs="Times New Roman"/>
                      <w:sz w:val="21"/>
                      <w:szCs w:val="21"/>
                      <w:vertAlign w:val="baseline"/>
                      <w:lang w:val="en-US" w:eastAsia="zh-CN"/>
                    </w:rPr>
                  </w:pPr>
                </w:p>
              </w:tc>
              <w:tc>
                <w:tcPr>
                  <w:tcW w:w="1355" w:type="dxa"/>
                  <w:vMerge w:val="continue"/>
                  <w:noWrap w:val="0"/>
                  <w:vAlign w:val="center"/>
                </w:tcPr>
                <w:p>
                  <w:pPr>
                    <w:pStyle w:val="2"/>
                    <w:jc w:val="center"/>
                    <w:rPr>
                      <w:rFonts w:hint="default" w:ascii="Times New Roman" w:hAnsi="Times New Roman" w:eastAsia="仿宋" w:cs="Times New Roman"/>
                      <w:sz w:val="21"/>
                      <w:szCs w:val="21"/>
                      <w:vertAlign w:val="baseline"/>
                      <w:lang w:val="en-US" w:eastAsia="zh-CN"/>
                    </w:rPr>
                  </w:pPr>
                </w:p>
              </w:tc>
              <w:tc>
                <w:tcPr>
                  <w:tcW w:w="1355" w:type="dxa"/>
                  <w:noWrap w:val="0"/>
                  <w:vAlign w:val="center"/>
                </w:tcPr>
                <w:p>
                  <w:pPr>
                    <w:pStyle w:val="2"/>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NH</w:t>
                  </w:r>
                  <w:r>
                    <w:rPr>
                      <w:rFonts w:hint="default" w:ascii="Times New Roman" w:hAnsi="Times New Roman" w:eastAsia="仿宋" w:cs="Times New Roman"/>
                      <w:sz w:val="21"/>
                      <w:szCs w:val="21"/>
                      <w:vertAlign w:val="subscript"/>
                      <w:lang w:val="en-US" w:eastAsia="zh-CN"/>
                    </w:rPr>
                    <w:t>3</w:t>
                  </w:r>
                  <w:r>
                    <w:rPr>
                      <w:rFonts w:hint="default" w:ascii="Times New Roman" w:hAnsi="Times New Roman" w:eastAsia="仿宋" w:cs="Times New Roman"/>
                      <w:sz w:val="21"/>
                      <w:szCs w:val="21"/>
                      <w:vertAlign w:val="baseline"/>
                      <w:lang w:val="en-US" w:eastAsia="zh-CN"/>
                    </w:rPr>
                    <w:t>-N</w:t>
                  </w:r>
                </w:p>
              </w:tc>
              <w:tc>
                <w:tcPr>
                  <w:tcW w:w="3728" w:type="dxa"/>
                  <w:vMerge w:val="continue"/>
                  <w:noWrap w:val="0"/>
                  <w:vAlign w:val="center"/>
                </w:tcPr>
                <w:p>
                  <w:pPr>
                    <w:pStyle w:val="2"/>
                    <w:jc w:val="center"/>
                    <w:rPr>
                      <w:rFonts w:hint="default" w:ascii="Times New Roman" w:hAnsi="Times New Roman" w:eastAsia="仿宋" w:cs="Times New Roman"/>
                      <w:sz w:val="21"/>
                      <w:szCs w:val="21"/>
                      <w:vertAlign w:val="baseline"/>
                      <w:lang w:val="en-US" w:eastAsia="zh-CN"/>
                    </w:rPr>
                  </w:pPr>
                </w:p>
              </w:tc>
              <w:tc>
                <w:tcPr>
                  <w:tcW w:w="1298" w:type="dxa"/>
                  <w:noWrap w:val="0"/>
                  <w:vAlign w:val="center"/>
                </w:tcPr>
                <w:p>
                  <w:pPr>
                    <w:spacing w:line="240" w:lineRule="auto"/>
                    <w:ind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noWrap w:val="0"/>
                  <w:vAlign w:val="center"/>
                </w:tcPr>
                <w:p>
                  <w:pPr>
                    <w:pStyle w:val="2"/>
                    <w:jc w:val="center"/>
                    <w:rPr>
                      <w:rFonts w:hint="default" w:ascii="Times New Roman" w:hAnsi="Times New Roman" w:eastAsia="仿宋" w:cs="Times New Roman"/>
                      <w:sz w:val="21"/>
                      <w:szCs w:val="21"/>
                      <w:vertAlign w:val="baseline"/>
                      <w:lang w:val="en-US" w:eastAsia="zh-CN"/>
                    </w:rPr>
                  </w:pPr>
                </w:p>
              </w:tc>
              <w:tc>
                <w:tcPr>
                  <w:tcW w:w="1355" w:type="dxa"/>
                  <w:vMerge w:val="continue"/>
                  <w:noWrap w:val="0"/>
                  <w:vAlign w:val="center"/>
                </w:tcPr>
                <w:p>
                  <w:pPr>
                    <w:pStyle w:val="2"/>
                    <w:jc w:val="center"/>
                    <w:rPr>
                      <w:rFonts w:hint="default" w:ascii="Times New Roman" w:hAnsi="Times New Roman" w:eastAsia="仿宋" w:cs="Times New Roman"/>
                      <w:sz w:val="21"/>
                      <w:szCs w:val="21"/>
                      <w:vertAlign w:val="baseline"/>
                      <w:lang w:val="en-US" w:eastAsia="zh-CN"/>
                    </w:rPr>
                  </w:pPr>
                </w:p>
              </w:tc>
              <w:tc>
                <w:tcPr>
                  <w:tcW w:w="1355" w:type="dxa"/>
                  <w:noWrap w:val="0"/>
                  <w:vAlign w:val="center"/>
                </w:tcPr>
                <w:p>
                  <w:pPr>
                    <w:pStyle w:val="2"/>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TP</w:t>
                  </w:r>
                </w:p>
              </w:tc>
              <w:tc>
                <w:tcPr>
                  <w:tcW w:w="3728" w:type="dxa"/>
                  <w:vMerge w:val="continue"/>
                  <w:noWrap w:val="0"/>
                  <w:vAlign w:val="center"/>
                </w:tcPr>
                <w:p>
                  <w:pPr>
                    <w:pStyle w:val="2"/>
                    <w:jc w:val="center"/>
                    <w:rPr>
                      <w:rFonts w:hint="default" w:ascii="Times New Roman" w:hAnsi="Times New Roman" w:eastAsia="仿宋" w:cs="Times New Roman"/>
                      <w:sz w:val="21"/>
                      <w:szCs w:val="21"/>
                      <w:vertAlign w:val="baseline"/>
                      <w:lang w:val="en-US" w:eastAsia="zh-CN"/>
                    </w:rPr>
                  </w:pPr>
                </w:p>
              </w:tc>
              <w:tc>
                <w:tcPr>
                  <w:tcW w:w="1298" w:type="dxa"/>
                  <w:noWrap w:val="0"/>
                  <w:vAlign w:val="center"/>
                </w:tcPr>
                <w:p>
                  <w:pPr>
                    <w:spacing w:line="240" w:lineRule="auto"/>
                    <w:ind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noWrap w:val="0"/>
                  <w:vAlign w:val="center"/>
                </w:tcPr>
                <w:p>
                  <w:pPr>
                    <w:pStyle w:val="2"/>
                    <w:jc w:val="center"/>
                    <w:rPr>
                      <w:rFonts w:hint="default" w:ascii="Times New Roman" w:hAnsi="Times New Roman" w:eastAsia="仿宋" w:cs="Times New Roman"/>
                      <w:sz w:val="21"/>
                      <w:szCs w:val="21"/>
                      <w:vertAlign w:val="baseline"/>
                      <w:lang w:val="en-US" w:eastAsia="zh-CN"/>
                    </w:rPr>
                  </w:pPr>
                </w:p>
              </w:tc>
              <w:tc>
                <w:tcPr>
                  <w:tcW w:w="1355" w:type="dxa"/>
                  <w:vMerge w:val="continue"/>
                  <w:noWrap w:val="0"/>
                  <w:vAlign w:val="center"/>
                </w:tcPr>
                <w:p>
                  <w:pPr>
                    <w:pStyle w:val="2"/>
                    <w:jc w:val="center"/>
                    <w:rPr>
                      <w:rFonts w:hint="default" w:ascii="Times New Roman" w:hAnsi="Times New Roman" w:eastAsia="仿宋" w:cs="Times New Roman"/>
                      <w:sz w:val="21"/>
                      <w:szCs w:val="21"/>
                      <w:vertAlign w:val="baseline"/>
                      <w:lang w:val="en-US" w:eastAsia="zh-CN"/>
                    </w:rPr>
                  </w:pPr>
                </w:p>
              </w:tc>
              <w:tc>
                <w:tcPr>
                  <w:tcW w:w="1355" w:type="dxa"/>
                  <w:noWrap w:val="0"/>
                  <w:vAlign w:val="center"/>
                </w:tcPr>
                <w:p>
                  <w:pPr>
                    <w:pStyle w:val="2"/>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TN</w:t>
                  </w:r>
                </w:p>
              </w:tc>
              <w:tc>
                <w:tcPr>
                  <w:tcW w:w="3728" w:type="dxa"/>
                  <w:vMerge w:val="continue"/>
                  <w:noWrap w:val="0"/>
                  <w:vAlign w:val="center"/>
                </w:tcPr>
                <w:p>
                  <w:pPr>
                    <w:pStyle w:val="2"/>
                    <w:jc w:val="center"/>
                    <w:rPr>
                      <w:rFonts w:hint="default" w:ascii="Times New Roman" w:hAnsi="Times New Roman" w:eastAsia="仿宋" w:cs="Times New Roman"/>
                      <w:sz w:val="21"/>
                      <w:szCs w:val="21"/>
                      <w:vertAlign w:val="baseline"/>
                      <w:lang w:val="en-US" w:eastAsia="zh-CN"/>
                    </w:rPr>
                  </w:pPr>
                </w:p>
              </w:tc>
              <w:tc>
                <w:tcPr>
                  <w:tcW w:w="1298" w:type="dxa"/>
                  <w:noWrap w:val="0"/>
                  <w:vAlign w:val="center"/>
                </w:tcPr>
                <w:p>
                  <w:pPr>
                    <w:spacing w:line="240" w:lineRule="auto"/>
                    <w:ind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color w:val="auto"/>
                      <w:sz w:val="21"/>
                      <w:szCs w:val="21"/>
                      <w:highlight w:val="none"/>
                      <w:lang w:val="en-US" w:eastAsia="zh-CN"/>
                    </w:rPr>
                    <w:t>70</w:t>
                  </w:r>
                </w:p>
              </w:tc>
            </w:tr>
          </w:tbl>
          <w:p>
            <w:pPr>
              <w:adjustRightInd w:val="0"/>
              <w:snapToGrid w:val="0"/>
              <w:ind w:firstLine="0" w:firstLineChars="0"/>
              <w:jc w:val="center"/>
              <w:rPr>
                <w:rFonts w:hint="default" w:ascii="Times New Roman" w:hAnsi="Times New Roman" w:eastAsia="仿宋" w:cs="Times New Roman"/>
                <w:b/>
                <w:color w:val="auto"/>
                <w:sz w:val="24"/>
                <w:szCs w:val="24"/>
                <w:highlight w:val="none"/>
              </w:rPr>
            </w:pPr>
          </w:p>
          <w:p>
            <w:pPr>
              <w:pStyle w:val="2"/>
              <w:rPr>
                <w:rFonts w:hint="default"/>
              </w:rPr>
            </w:pPr>
          </w:p>
          <w:p>
            <w:pPr>
              <w:adjustRightInd w:val="0"/>
              <w:snapToGrid w:val="0"/>
              <w:ind w:firstLine="0" w:firstLineChars="0"/>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表</w:t>
            </w:r>
            <w:r>
              <w:rPr>
                <w:rFonts w:hint="default" w:ascii="Times New Roman" w:hAnsi="Times New Roman" w:eastAsia="仿宋" w:cs="Times New Roman"/>
                <w:b/>
                <w:color w:val="auto"/>
                <w:sz w:val="24"/>
                <w:szCs w:val="24"/>
                <w:highlight w:val="none"/>
                <w:lang w:val="en-US" w:eastAsia="zh-CN"/>
              </w:rPr>
              <w:t>4-</w:t>
            </w:r>
            <w:r>
              <w:rPr>
                <w:rFonts w:hint="eastAsia" w:eastAsia="仿宋" w:cs="Times New Roman"/>
                <w:b/>
                <w:color w:val="auto"/>
                <w:sz w:val="24"/>
                <w:szCs w:val="24"/>
                <w:highlight w:val="none"/>
                <w:lang w:val="en-US" w:eastAsia="zh-CN"/>
              </w:rPr>
              <w:t>22</w:t>
            </w:r>
            <w:r>
              <w:rPr>
                <w:rFonts w:hint="default" w:ascii="Times New Roman" w:hAnsi="Times New Roman" w:eastAsia="仿宋" w:cs="Times New Roman"/>
                <w:b/>
                <w:color w:val="auto"/>
                <w:sz w:val="24"/>
                <w:szCs w:val="24"/>
                <w:highlight w:val="none"/>
              </w:rPr>
              <w:t xml:space="preserve"> 废水类别、污染物及污染治理设施信息表</w:t>
            </w:r>
          </w:p>
          <w:tbl>
            <w:tblPr>
              <w:tblStyle w:val="17"/>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699"/>
              <w:gridCol w:w="844"/>
              <w:gridCol w:w="752"/>
              <w:gridCol w:w="704"/>
              <w:gridCol w:w="858"/>
              <w:gridCol w:w="768"/>
              <w:gridCol w:w="776"/>
              <w:gridCol w:w="920"/>
              <w:gridCol w:w="751"/>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4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7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废水类别</w:t>
                  </w:r>
                </w:p>
              </w:tc>
              <w:tc>
                <w:tcPr>
                  <w:tcW w:w="84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种类</w:t>
                  </w:r>
                </w:p>
              </w:tc>
              <w:tc>
                <w:tcPr>
                  <w:tcW w:w="76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排放去向</w:t>
                  </w:r>
                </w:p>
              </w:tc>
              <w:tc>
                <w:tcPr>
                  <w:tcW w:w="70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排放规律</w:t>
                  </w:r>
                </w:p>
              </w:tc>
              <w:tc>
                <w:tcPr>
                  <w:tcW w:w="235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污染治理设施</w:t>
                  </w:r>
                </w:p>
              </w:tc>
              <w:tc>
                <w:tcPr>
                  <w:tcW w:w="92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排放口编号</w:t>
                  </w:r>
                </w:p>
              </w:tc>
              <w:tc>
                <w:tcPr>
                  <w:tcW w:w="75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排放口设置是否符合要求</w:t>
                  </w:r>
                </w:p>
              </w:tc>
              <w:tc>
                <w:tcPr>
                  <w:tcW w:w="8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blHeader/>
                <w:jc w:val="center"/>
              </w:trPr>
              <w:tc>
                <w:tcPr>
                  <w:tcW w:w="4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p>
              </w:tc>
              <w:tc>
                <w:tcPr>
                  <w:tcW w:w="7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p>
              </w:tc>
              <w:tc>
                <w:tcPr>
                  <w:tcW w:w="84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p>
              </w:tc>
              <w:tc>
                <w:tcPr>
                  <w:tcW w:w="7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p>
              </w:tc>
              <w:tc>
                <w:tcPr>
                  <w:tcW w:w="70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p>
              </w:tc>
              <w:tc>
                <w:tcPr>
                  <w:tcW w:w="7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污染治理设施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编号</w:t>
                  </w:r>
                </w:p>
              </w:tc>
              <w:tc>
                <w:tcPr>
                  <w:tcW w:w="7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污染治理设施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名称</w:t>
                  </w:r>
                </w:p>
              </w:tc>
              <w:tc>
                <w:tcPr>
                  <w:tcW w:w="7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污染治理设施工艺</w:t>
                  </w:r>
                </w:p>
              </w:tc>
              <w:tc>
                <w:tcPr>
                  <w:tcW w:w="92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p>
              </w:tc>
              <w:tc>
                <w:tcPr>
                  <w:tcW w:w="75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p>
              </w:tc>
              <w:tc>
                <w:tcPr>
                  <w:tcW w:w="8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7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生活废水</w:t>
                  </w:r>
                </w:p>
              </w:tc>
              <w:tc>
                <w:tcPr>
                  <w:tcW w:w="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76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郑陆污水处理有限公司</w:t>
                  </w:r>
                </w:p>
              </w:tc>
              <w:tc>
                <w:tcPr>
                  <w:tcW w:w="70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间断排放，排放期间流量不稳定，但有周期性规律</w:t>
                  </w:r>
                </w:p>
              </w:tc>
              <w:tc>
                <w:tcPr>
                  <w:tcW w:w="78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rPr>
                  </w:pPr>
                  <w:r>
                    <w:rPr>
                      <w:rFonts w:hint="eastAsia" w:eastAsia="仿宋" w:cs="Times New Roman"/>
                      <w:color w:val="auto"/>
                      <w:sz w:val="21"/>
                      <w:szCs w:val="21"/>
                      <w:highlight w:val="none"/>
                      <w:lang w:val="en-US" w:eastAsia="zh-CN"/>
                    </w:rPr>
                    <w:t>TW001</w:t>
                  </w:r>
                </w:p>
              </w:tc>
              <w:tc>
                <w:tcPr>
                  <w:tcW w:w="78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化粪池</w:t>
                  </w:r>
                </w:p>
              </w:tc>
              <w:tc>
                <w:tcPr>
                  <w:tcW w:w="79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化粪</w:t>
                  </w:r>
                </w:p>
              </w:tc>
              <w:tc>
                <w:tcPr>
                  <w:tcW w:w="92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DW001</w:t>
                  </w:r>
                </w:p>
              </w:tc>
              <w:tc>
                <w:tcPr>
                  <w:tcW w:w="75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sym w:font="Wingdings 2" w:char="0052"/>
                  </w:r>
                  <w:r>
                    <w:rPr>
                      <w:rFonts w:hint="default" w:ascii="Times New Roman" w:hAnsi="Times New Roman" w:eastAsia="仿宋" w:cs="Times New Roman"/>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sym w:font="Wingdings 2" w:char="00A3"/>
                  </w:r>
                  <w:r>
                    <w:rPr>
                      <w:rFonts w:hint="default" w:ascii="Times New Roman" w:hAnsi="Times New Roman" w:eastAsia="仿宋" w:cs="Times New Roman"/>
                      <w:color w:val="auto"/>
                      <w:sz w:val="21"/>
                      <w:szCs w:val="21"/>
                      <w:highlight w:val="none"/>
                    </w:rPr>
                    <w:t>否</w:t>
                  </w:r>
                </w:p>
              </w:tc>
              <w:tc>
                <w:tcPr>
                  <w:tcW w:w="8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snapToGrid w:val="0"/>
                      <w:color w:val="auto"/>
                      <w:kern w:val="20"/>
                      <w:sz w:val="21"/>
                      <w:szCs w:val="21"/>
                      <w:highlight w:val="none"/>
                    </w:rPr>
                  </w:pPr>
                  <w:r>
                    <w:rPr>
                      <w:rFonts w:hint="default" w:ascii="Times New Roman" w:hAnsi="Times New Roman" w:eastAsia="仿宋" w:cs="Times New Roman"/>
                      <w:color w:val="auto"/>
                      <w:sz w:val="21"/>
                      <w:szCs w:val="21"/>
                      <w:highlight w:val="none"/>
                    </w:rPr>
                    <w:sym w:font="Wingdings 2" w:char="0052"/>
                  </w:r>
                  <w:r>
                    <w:rPr>
                      <w:rFonts w:hint="default" w:ascii="Times New Roman" w:hAnsi="Times New Roman" w:eastAsia="仿宋" w:cs="Times New Roman"/>
                      <w:color w:val="auto"/>
                      <w:sz w:val="21"/>
                      <w:szCs w:val="21"/>
                      <w:highlight w:val="none"/>
                    </w:rPr>
                    <w:t>企业总排</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sym w:font="Wingdings 2" w:char="00A3"/>
                  </w:r>
                  <w:r>
                    <w:rPr>
                      <w:rFonts w:hint="default" w:ascii="Times New Roman" w:hAnsi="Times New Roman" w:eastAsia="仿宋" w:cs="Times New Roman"/>
                      <w:color w:val="auto"/>
                      <w:sz w:val="21"/>
                      <w:szCs w:val="21"/>
                      <w:highlight w:val="none"/>
                    </w:rPr>
                    <w:t>雨水排放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sym w:font="Wingdings 2" w:char="00A3"/>
                  </w:r>
                  <w:r>
                    <w:rPr>
                      <w:rFonts w:hint="default" w:ascii="Times New Roman" w:hAnsi="Times New Roman" w:eastAsia="仿宋" w:cs="Times New Roman"/>
                      <w:color w:val="auto"/>
                      <w:spacing w:val="-10"/>
                      <w:sz w:val="21"/>
                      <w:szCs w:val="21"/>
                      <w:highlight w:val="none"/>
                    </w:rPr>
                    <w:t>清净下水排放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□温排水排放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w:t>
                  </w:r>
                </w:p>
              </w:tc>
              <w:tc>
                <w:tcPr>
                  <w:tcW w:w="7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0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78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9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92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56"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8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w:t>
                  </w:r>
                </w:p>
              </w:tc>
              <w:tc>
                <w:tcPr>
                  <w:tcW w:w="7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0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8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9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92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56"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snapToGrid w:val="0"/>
                      <w:color w:val="auto"/>
                      <w:kern w:val="20"/>
                      <w:sz w:val="21"/>
                      <w:szCs w:val="21"/>
                      <w:highlight w:val="none"/>
                    </w:rPr>
                  </w:pPr>
                </w:p>
              </w:tc>
              <w:tc>
                <w:tcPr>
                  <w:tcW w:w="8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w:t>
                  </w:r>
                </w:p>
              </w:tc>
              <w:tc>
                <w:tcPr>
                  <w:tcW w:w="7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TP</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0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8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9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92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56"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8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8" w:hRule="atLeast"/>
                <w:jc w:val="center"/>
              </w:trPr>
              <w:tc>
                <w:tcPr>
                  <w:tcW w:w="4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w:t>
                  </w:r>
                </w:p>
              </w:tc>
              <w:tc>
                <w:tcPr>
                  <w:tcW w:w="7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TN</w:t>
                  </w:r>
                </w:p>
              </w:tc>
              <w:tc>
                <w:tcPr>
                  <w:tcW w:w="7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0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8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9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92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756"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c>
                <w:tcPr>
                  <w:tcW w:w="8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color w:val="auto"/>
                      <w:sz w:val="21"/>
                      <w:szCs w:val="21"/>
                      <w:highlight w:val="none"/>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表</w:t>
            </w:r>
            <w:r>
              <w:rPr>
                <w:rFonts w:hint="eastAsia" w:eastAsia="仿宋" w:cs="Times New Roman"/>
                <w:b/>
                <w:bCs/>
                <w:kern w:val="0"/>
                <w:sz w:val="24"/>
                <w:szCs w:val="24"/>
                <w:lang w:val="en-US" w:eastAsia="zh-CN"/>
              </w:rPr>
              <w:t>4-23</w:t>
            </w:r>
            <w:r>
              <w:rPr>
                <w:rFonts w:hint="eastAsia" w:ascii="Times New Roman" w:hAnsi="Times New Roman" w:eastAsia="仿宋" w:cs="Times New Roman"/>
                <w:b/>
                <w:bCs/>
                <w:kern w:val="0"/>
                <w:sz w:val="24"/>
                <w:szCs w:val="24"/>
                <w:lang w:val="en-US" w:eastAsia="zh-CN"/>
              </w:rPr>
              <w:t>本项目废水间接排放口基本情况表</w:t>
            </w:r>
          </w:p>
          <w:tbl>
            <w:tblPr>
              <w:tblStyle w:val="1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1451"/>
              <w:gridCol w:w="1345"/>
              <w:gridCol w:w="1076"/>
              <w:gridCol w:w="840"/>
              <w:gridCol w:w="709"/>
              <w:gridCol w:w="434"/>
              <w:gridCol w:w="833"/>
              <w:gridCol w:w="8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29"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排放口</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编号</w:t>
                  </w:r>
                </w:p>
              </w:tc>
              <w:tc>
                <w:tcPr>
                  <w:tcW w:w="1649"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排放口地理坐标</w:t>
                  </w:r>
                </w:p>
              </w:tc>
              <w:tc>
                <w:tcPr>
                  <w:tcW w:w="634"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废水排放量/（万t/a）</w:t>
                  </w:r>
                </w:p>
              </w:tc>
              <w:tc>
                <w:tcPr>
                  <w:tcW w:w="495"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排放</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去向</w:t>
                  </w:r>
                </w:p>
              </w:tc>
              <w:tc>
                <w:tcPr>
                  <w:tcW w:w="41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排放</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规律</w:t>
                  </w:r>
                </w:p>
              </w:tc>
              <w:tc>
                <w:tcPr>
                  <w:tcW w:w="1272" w:type="pct"/>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受纳污水处理厂信息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tblHeader/>
                <w:jc w:val="center"/>
              </w:trPr>
              <w:tc>
                <w:tcPr>
                  <w:tcW w:w="529"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p>
              </w:tc>
              <w:tc>
                <w:tcPr>
                  <w:tcW w:w="85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经度</w:t>
                  </w:r>
                </w:p>
              </w:tc>
              <w:tc>
                <w:tcPr>
                  <w:tcW w:w="793"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纬度</w:t>
                  </w:r>
                </w:p>
              </w:tc>
              <w:tc>
                <w:tcPr>
                  <w:tcW w:w="634"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p>
              </w:tc>
              <w:tc>
                <w:tcPr>
                  <w:tcW w:w="49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p>
              </w:tc>
              <w:tc>
                <w:tcPr>
                  <w:tcW w:w="41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p>
              </w:tc>
              <w:tc>
                <w:tcPr>
                  <w:tcW w:w="256"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名称</w:t>
                  </w:r>
                </w:p>
              </w:tc>
              <w:tc>
                <w:tcPr>
                  <w:tcW w:w="49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污染物</w:t>
                  </w:r>
                </w:p>
              </w:tc>
              <w:tc>
                <w:tcPr>
                  <w:tcW w:w="523"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kern w:val="0"/>
                      <w:szCs w:val="21"/>
                      <w:vertAlign w:val="baseline"/>
                      <w:lang w:val="en-US" w:eastAsia="zh-CN"/>
                    </w:rPr>
                  </w:pPr>
                  <w:r>
                    <w:rPr>
                      <w:rFonts w:hint="default" w:ascii="Times New Roman" w:hAnsi="Times New Roman" w:eastAsia="仿宋" w:cs="Times New Roman"/>
                      <w:b/>
                      <w:bCs/>
                      <w:kern w:val="0"/>
                      <w:szCs w:val="21"/>
                      <w:vertAlign w:val="baseline"/>
                      <w:lang w:val="en-US" w:eastAsia="zh-CN"/>
                    </w:rPr>
                    <w:t>限值/(mg/L)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29"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DW001</w:t>
                  </w:r>
                </w:p>
              </w:tc>
              <w:tc>
                <w:tcPr>
                  <w:tcW w:w="856" w:type="pct"/>
                  <w:vMerge w:val="restart"/>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cs="Times New Roman"/>
                      <w:sz w:val="21"/>
                      <w:szCs w:val="21"/>
                    </w:rPr>
                    <w:t>120.0927436</w:t>
                  </w:r>
                </w:p>
              </w:tc>
              <w:tc>
                <w:tcPr>
                  <w:tcW w:w="793"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cs="Times New Roman"/>
                      <w:sz w:val="21"/>
                      <w:szCs w:val="21"/>
                    </w:rPr>
                    <w:t>31.8082335</w:t>
                  </w:r>
                </w:p>
              </w:tc>
              <w:tc>
                <w:tcPr>
                  <w:tcW w:w="634"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0.0</w:t>
                  </w:r>
                  <w:r>
                    <w:rPr>
                      <w:rFonts w:hint="default" w:ascii="Times New Roman" w:hAnsi="Times New Roman" w:cs="Times New Roman"/>
                      <w:color w:val="auto"/>
                      <w:sz w:val="21"/>
                      <w:szCs w:val="21"/>
                      <w:highlight w:val="none"/>
                      <w:lang w:val="en-US" w:eastAsia="zh-CN"/>
                    </w:rPr>
                    <w:t>192</w:t>
                  </w:r>
                </w:p>
              </w:tc>
              <w:tc>
                <w:tcPr>
                  <w:tcW w:w="495"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进入城市污水处理厂</w:t>
                  </w:r>
                </w:p>
              </w:tc>
              <w:tc>
                <w:tcPr>
                  <w:tcW w:w="41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间断排放</w:t>
                  </w:r>
                </w:p>
              </w:tc>
              <w:tc>
                <w:tcPr>
                  <w:tcW w:w="256"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郑陆污水处理有限公司</w:t>
                  </w:r>
                </w:p>
              </w:tc>
              <w:tc>
                <w:tcPr>
                  <w:tcW w:w="4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default" w:eastAsia="宋体" w:cs="Times New Roman"/>
                      <w:color w:val="auto"/>
                      <w:sz w:val="21"/>
                      <w:szCs w:val="21"/>
                      <w:highlight w:val="none"/>
                    </w:rPr>
                    <w:t>COD</w:t>
                  </w:r>
                </w:p>
              </w:tc>
              <w:tc>
                <w:tcPr>
                  <w:tcW w:w="5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default" w:eastAsia="宋体" w:cs="Times New Roman"/>
                      <w:color w:val="auto"/>
                      <w:sz w:val="21"/>
                      <w:szCs w:val="21"/>
                      <w:highlight w:val="none"/>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29"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pPr>
                </w:p>
              </w:tc>
              <w:tc>
                <w:tcPr>
                  <w:tcW w:w="8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pPr>
                </w:p>
              </w:tc>
              <w:tc>
                <w:tcPr>
                  <w:tcW w:w="793"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pPr>
                </w:p>
              </w:tc>
              <w:tc>
                <w:tcPr>
                  <w:tcW w:w="634"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pPr>
                </w:p>
              </w:tc>
              <w:tc>
                <w:tcPr>
                  <w:tcW w:w="495"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pPr>
                </w:p>
              </w:tc>
              <w:tc>
                <w:tcPr>
                  <w:tcW w:w="41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pPr>
                </w:p>
              </w:tc>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pPr>
                </w:p>
              </w:tc>
              <w:tc>
                <w:tcPr>
                  <w:tcW w:w="4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default" w:eastAsia="宋体" w:cs="Times New Roman"/>
                      <w:color w:val="auto"/>
                      <w:sz w:val="21"/>
                      <w:szCs w:val="21"/>
                      <w:highlight w:val="none"/>
                    </w:rPr>
                    <w:t>SS</w:t>
                  </w:r>
                </w:p>
              </w:tc>
              <w:tc>
                <w:tcPr>
                  <w:tcW w:w="5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default" w:eastAsia="宋体" w:cs="Times New Roman"/>
                      <w:color w:val="auto"/>
                      <w:sz w:val="21"/>
                      <w:szCs w:val="21"/>
                      <w:highlight w:val="none"/>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29"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8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793"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634"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495"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41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4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default" w:eastAsia="宋体" w:cs="Times New Roman"/>
                      <w:color w:val="auto"/>
                      <w:sz w:val="21"/>
                      <w:szCs w:val="21"/>
                      <w:highlight w:val="none"/>
                    </w:rPr>
                    <w:t>NH</w:t>
                  </w:r>
                  <w:r>
                    <w:rPr>
                      <w:rFonts w:hint="default" w:eastAsia="宋体" w:cs="Times New Roman"/>
                      <w:color w:val="auto"/>
                      <w:sz w:val="21"/>
                      <w:szCs w:val="21"/>
                      <w:highlight w:val="none"/>
                      <w:vertAlign w:val="subscript"/>
                    </w:rPr>
                    <w:t>3</w:t>
                  </w:r>
                  <w:r>
                    <w:rPr>
                      <w:rFonts w:hint="default" w:eastAsia="宋体" w:cs="Times New Roman"/>
                      <w:color w:val="auto"/>
                      <w:sz w:val="21"/>
                      <w:szCs w:val="21"/>
                      <w:highlight w:val="none"/>
                    </w:rPr>
                    <w:t>-N</w:t>
                  </w:r>
                </w:p>
              </w:tc>
              <w:tc>
                <w:tcPr>
                  <w:tcW w:w="5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default" w:eastAsia="宋体" w:cs="Times New Roman"/>
                      <w:color w:val="auto"/>
                      <w:sz w:val="21"/>
                      <w:szCs w:val="21"/>
                      <w:highlight w:val="none"/>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29"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8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793"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634"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495"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41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4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default" w:eastAsia="宋体" w:cs="Times New Roman"/>
                      <w:color w:val="auto"/>
                      <w:sz w:val="21"/>
                      <w:szCs w:val="21"/>
                      <w:highlight w:val="none"/>
                    </w:rPr>
                    <w:t>TP</w:t>
                  </w:r>
                </w:p>
              </w:tc>
              <w:tc>
                <w:tcPr>
                  <w:tcW w:w="5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default" w:eastAsia="宋体" w:cs="Times New Roman"/>
                      <w:color w:val="auto"/>
                      <w:sz w:val="21"/>
                      <w:szCs w:val="21"/>
                      <w:highlight w:val="none"/>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29"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8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793"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634"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495"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41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kern w:val="0"/>
                      <w:szCs w:val="21"/>
                      <w:vertAlign w:val="baseline"/>
                      <w:lang w:val="en-US" w:eastAsia="zh-CN"/>
                    </w:rPr>
                  </w:pPr>
                </w:p>
              </w:tc>
              <w:tc>
                <w:tcPr>
                  <w:tcW w:w="4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default" w:eastAsia="宋体" w:cs="Times New Roman"/>
                      <w:color w:val="auto"/>
                      <w:sz w:val="21"/>
                      <w:szCs w:val="21"/>
                      <w:highlight w:val="none"/>
                    </w:rPr>
                    <w:t>TN</w:t>
                  </w:r>
                </w:p>
              </w:tc>
              <w:tc>
                <w:tcPr>
                  <w:tcW w:w="5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kern w:val="0"/>
                      <w:szCs w:val="21"/>
                      <w:vertAlign w:val="baseline"/>
                      <w:lang w:val="en-US" w:eastAsia="zh-CN"/>
                    </w:rPr>
                  </w:pPr>
                  <w:r>
                    <w:rPr>
                      <w:rFonts w:hint="default" w:eastAsia="宋体" w:cs="Times New Roman"/>
                      <w:color w:val="auto"/>
                      <w:sz w:val="21"/>
                      <w:szCs w:val="21"/>
                      <w:highlight w:val="none"/>
                    </w:rPr>
                    <w:t>15</w:t>
                  </w:r>
                </w:p>
              </w:tc>
            </w:tr>
          </w:tbl>
          <w:p>
            <w:pPr>
              <w:adjustRightInd w:val="0"/>
              <w:snapToGrid w:val="0"/>
              <w:ind w:firstLine="0" w:firstLineChars="0"/>
              <w:jc w:val="center"/>
              <w:rPr>
                <w:rFonts w:hint="default" w:eastAsia="宋体" w:cs="Times New Roman"/>
                <w:b/>
                <w:color w:val="auto"/>
                <w:highlight w:val="none"/>
              </w:rPr>
            </w:pPr>
            <w:r>
              <w:rPr>
                <w:rFonts w:hint="default" w:ascii="Times New Roman" w:hAnsi="Times New Roman" w:eastAsia="仿宋" w:cs="Times New Roman"/>
                <w:b/>
                <w:color w:val="auto"/>
                <w:sz w:val="24"/>
                <w:highlight w:val="none"/>
              </w:rPr>
              <w:t>表</w:t>
            </w:r>
            <w:r>
              <w:rPr>
                <w:rFonts w:hint="default" w:ascii="Times New Roman" w:hAnsi="Times New Roman" w:eastAsia="仿宋" w:cs="Times New Roman"/>
                <w:b/>
                <w:color w:val="auto"/>
                <w:sz w:val="24"/>
                <w:highlight w:val="none"/>
                <w:lang w:val="en-US" w:eastAsia="zh-CN"/>
              </w:rPr>
              <w:t>4-24</w:t>
            </w:r>
            <w:r>
              <w:rPr>
                <w:rFonts w:hint="default" w:ascii="Times New Roman" w:hAnsi="Times New Roman" w:eastAsia="仿宋" w:cs="Times New Roman"/>
                <w:b/>
                <w:color w:val="auto"/>
                <w:sz w:val="24"/>
                <w:highlight w:val="none"/>
              </w:rPr>
              <w:t xml:space="preserve"> 废水污染源排放量核算表</w:t>
            </w:r>
          </w:p>
          <w:tbl>
            <w:tblPr>
              <w:tblStyle w:val="17"/>
              <w:tblW w:w="49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1225"/>
              <w:gridCol w:w="1457"/>
              <w:gridCol w:w="1551"/>
              <w:gridCol w:w="1705"/>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600"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730"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排放口编号</w:t>
                  </w:r>
                </w:p>
              </w:tc>
              <w:tc>
                <w:tcPr>
                  <w:tcW w:w="868"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污染物种类</w:t>
                  </w:r>
                </w:p>
              </w:tc>
              <w:tc>
                <w:tcPr>
                  <w:tcW w:w="924"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排放浓度/（mg/L）</w:t>
                  </w:r>
                </w:p>
              </w:tc>
              <w:tc>
                <w:tcPr>
                  <w:tcW w:w="1015"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全厂日排放量/（t/d）</w:t>
                  </w:r>
                </w:p>
              </w:tc>
              <w:tc>
                <w:tcPr>
                  <w:tcW w:w="860"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全厂年排放量/（t/a）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0"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730" w:type="pct"/>
                  <w:vMerge w:val="restart"/>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DW001</w:t>
                  </w:r>
                </w:p>
              </w:tc>
              <w:tc>
                <w:tcPr>
                  <w:tcW w:w="868"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151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sz w:val="21"/>
                      <w:szCs w:val="21"/>
                      <w:lang w:val="en-US" w:eastAsia="zh-CN"/>
                    </w:rPr>
                    <w:t>40</w:t>
                  </w:r>
                  <w:r>
                    <w:rPr>
                      <w:rFonts w:hint="default" w:ascii="Times New Roman" w:hAnsi="Times New Roman" w:eastAsia="仿宋" w:cs="Times New Roman"/>
                      <w:sz w:val="21"/>
                      <w:szCs w:val="21"/>
                    </w:rPr>
                    <w:t>0</w:t>
                  </w:r>
                </w:p>
              </w:tc>
              <w:tc>
                <w:tcPr>
                  <w:tcW w:w="166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0.000257</w:t>
                  </w:r>
                </w:p>
              </w:tc>
              <w:tc>
                <w:tcPr>
                  <w:tcW w:w="141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0"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w:t>
                  </w:r>
                </w:p>
              </w:tc>
              <w:tc>
                <w:tcPr>
                  <w:tcW w:w="730" w:type="pct"/>
                  <w:vMerge w:val="continue"/>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68"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151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sz w:val="21"/>
                      <w:szCs w:val="21"/>
                      <w:lang w:val="en-US" w:eastAsia="zh-CN"/>
                    </w:rPr>
                    <w:t>3</w:t>
                  </w:r>
                  <w:r>
                    <w:rPr>
                      <w:rFonts w:hint="default" w:ascii="Times New Roman" w:hAnsi="Times New Roman" w:eastAsia="仿宋" w:cs="Times New Roman"/>
                      <w:sz w:val="21"/>
                      <w:szCs w:val="21"/>
                    </w:rPr>
                    <w:t>00</w:t>
                  </w:r>
                </w:p>
              </w:tc>
              <w:tc>
                <w:tcPr>
                  <w:tcW w:w="166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0.000193</w:t>
                  </w:r>
                </w:p>
              </w:tc>
              <w:tc>
                <w:tcPr>
                  <w:tcW w:w="141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0"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w:t>
                  </w:r>
                </w:p>
              </w:tc>
              <w:tc>
                <w:tcPr>
                  <w:tcW w:w="730" w:type="pct"/>
                  <w:vMerge w:val="continue"/>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68"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p>
              </w:tc>
              <w:tc>
                <w:tcPr>
                  <w:tcW w:w="151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sz w:val="21"/>
                      <w:szCs w:val="21"/>
                    </w:rPr>
                    <w:t>3</w:t>
                  </w:r>
                  <w:r>
                    <w:rPr>
                      <w:rFonts w:hint="default" w:ascii="Times New Roman" w:hAnsi="Times New Roman" w:eastAsia="仿宋" w:cs="Times New Roman"/>
                      <w:sz w:val="21"/>
                      <w:szCs w:val="21"/>
                      <w:lang w:val="en-US" w:eastAsia="zh-CN"/>
                    </w:rPr>
                    <w:t>0</w:t>
                  </w:r>
                </w:p>
              </w:tc>
              <w:tc>
                <w:tcPr>
                  <w:tcW w:w="166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0.000020</w:t>
                  </w:r>
                </w:p>
              </w:tc>
              <w:tc>
                <w:tcPr>
                  <w:tcW w:w="141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val="en-US" w:eastAsia="zh-CN" w:bidi="ar"/>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0"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w:t>
                  </w:r>
                </w:p>
              </w:tc>
              <w:tc>
                <w:tcPr>
                  <w:tcW w:w="730" w:type="pct"/>
                  <w:vMerge w:val="continue"/>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68"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TP</w:t>
                  </w:r>
                </w:p>
              </w:tc>
              <w:tc>
                <w:tcPr>
                  <w:tcW w:w="151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sz w:val="21"/>
                      <w:szCs w:val="21"/>
                      <w:lang w:val="en-US" w:eastAsia="zh-CN"/>
                    </w:rPr>
                    <w:t>5</w:t>
                  </w:r>
                </w:p>
              </w:tc>
              <w:tc>
                <w:tcPr>
                  <w:tcW w:w="166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0.000003</w:t>
                  </w:r>
                </w:p>
              </w:tc>
              <w:tc>
                <w:tcPr>
                  <w:tcW w:w="141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val="en-US" w:eastAsia="zh-CN"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0"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w:t>
                  </w:r>
                </w:p>
              </w:tc>
              <w:tc>
                <w:tcPr>
                  <w:tcW w:w="730" w:type="pct"/>
                  <w:vMerge w:val="continue"/>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68" w:type="pct"/>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TN</w:t>
                  </w:r>
                </w:p>
              </w:tc>
              <w:tc>
                <w:tcPr>
                  <w:tcW w:w="151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sz w:val="21"/>
                      <w:szCs w:val="21"/>
                      <w:lang w:val="en-US" w:eastAsia="zh-CN"/>
                    </w:rPr>
                    <w:t>50</w:t>
                  </w:r>
                </w:p>
              </w:tc>
              <w:tc>
                <w:tcPr>
                  <w:tcW w:w="166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0.000032</w:t>
                  </w:r>
                </w:p>
              </w:tc>
              <w:tc>
                <w:tcPr>
                  <w:tcW w:w="141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val="en-US" w:eastAsia="zh-CN" w:bidi="ar"/>
                    </w:rPr>
                    <w:t>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0" w:type="pct"/>
                  <w:gridSpan w:val="2"/>
                  <w:vMerge w:val="restart"/>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全厂排放口合计</w:t>
                  </w:r>
                </w:p>
              </w:tc>
              <w:tc>
                <w:tcPr>
                  <w:tcW w:w="2808" w:type="pct"/>
                  <w:gridSpan w:val="3"/>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141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0"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2808" w:type="pct"/>
                  <w:gridSpan w:val="3"/>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141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color w:val="000000"/>
                      <w:kern w:val="0"/>
                      <w:sz w:val="21"/>
                      <w:szCs w:val="21"/>
                      <w:u w:val="none"/>
                      <w:lang w:val="en-US" w:eastAsia="zh-CN" w:bidi="ar"/>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0"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2808" w:type="pct"/>
                  <w:gridSpan w:val="3"/>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p>
              </w:tc>
              <w:tc>
                <w:tcPr>
                  <w:tcW w:w="141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val="en-US" w:eastAsia="zh-CN" w:bidi="ar"/>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0"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2808" w:type="pct"/>
                  <w:gridSpan w:val="3"/>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TP</w:t>
                  </w:r>
                </w:p>
              </w:tc>
              <w:tc>
                <w:tcPr>
                  <w:tcW w:w="141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val="en-US" w:eastAsia="zh-CN"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30" w:type="pct"/>
                  <w:gridSpan w:val="2"/>
                  <w:vMerge w:val="continue"/>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2808" w:type="pct"/>
                  <w:gridSpan w:val="3"/>
                  <w:noWrap w:val="0"/>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TN</w:t>
                  </w:r>
                </w:p>
              </w:tc>
              <w:tc>
                <w:tcPr>
                  <w:tcW w:w="141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val="en-US" w:eastAsia="zh-CN" w:bidi="ar"/>
                    </w:rPr>
                    <w:t>0.0096</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（三）监测要求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kern w:val="0"/>
                <w:sz w:val="24"/>
                <w:szCs w:val="24"/>
                <w:lang w:val="en-US" w:eastAsia="zh-CN"/>
              </w:rPr>
              <w:t>根据《排污单位自行监测技术指南 总则》（HJ819-2017）中的相关监测要求，本项目废水监测计划如下表。</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表</w:t>
            </w:r>
            <w:r>
              <w:rPr>
                <w:rFonts w:hint="eastAsia" w:eastAsia="仿宋" w:cs="Times New Roman"/>
                <w:b/>
                <w:bCs/>
                <w:kern w:val="0"/>
                <w:sz w:val="24"/>
                <w:szCs w:val="24"/>
                <w:lang w:val="en-US" w:eastAsia="zh-CN"/>
              </w:rPr>
              <w:t>4-25</w:t>
            </w:r>
            <w:r>
              <w:rPr>
                <w:rFonts w:hint="eastAsia" w:ascii="Times New Roman" w:hAnsi="Times New Roman" w:eastAsia="仿宋" w:cs="Times New Roman"/>
                <w:b/>
                <w:bCs/>
                <w:kern w:val="0"/>
                <w:sz w:val="24"/>
                <w:szCs w:val="24"/>
                <w:lang w:val="en-US" w:eastAsia="zh-CN"/>
              </w:rPr>
              <w:t xml:space="preserve"> 环境监测计划</w:t>
            </w:r>
          </w:p>
          <w:tbl>
            <w:tblPr>
              <w:tblStyle w:val="1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41"/>
              <w:gridCol w:w="1297"/>
              <w:gridCol w:w="1608"/>
              <w:gridCol w:w="1245"/>
              <w:gridCol w:w="2145"/>
              <w:gridCol w:w="12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5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类别</w:t>
                  </w:r>
                </w:p>
              </w:tc>
              <w:tc>
                <w:tcPr>
                  <w:tcW w:w="7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监测位置</w:t>
                  </w:r>
                </w:p>
              </w:tc>
              <w:tc>
                <w:tcPr>
                  <w:tcW w:w="94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监测指标</w:t>
                  </w:r>
                </w:p>
              </w:tc>
              <w:tc>
                <w:tcPr>
                  <w:tcW w:w="73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监测频率</w:t>
                  </w:r>
                </w:p>
              </w:tc>
              <w:tc>
                <w:tcPr>
                  <w:tcW w:w="12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排放标准</w:t>
                  </w:r>
                </w:p>
              </w:tc>
              <w:tc>
                <w:tcPr>
                  <w:tcW w:w="73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监测单位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5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废水</w:t>
                  </w:r>
                </w:p>
              </w:tc>
              <w:tc>
                <w:tcPr>
                  <w:tcW w:w="7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污水</w:t>
                  </w:r>
                  <w:r>
                    <w:rPr>
                      <w:rFonts w:hint="eastAsia" w:eastAsia="仿宋" w:cs="Times New Roman"/>
                      <w:kern w:val="0"/>
                      <w:szCs w:val="21"/>
                      <w:vertAlign w:val="baseline"/>
                      <w:lang w:val="en-US" w:eastAsia="zh-CN"/>
                    </w:rPr>
                    <w:t>接管口</w:t>
                  </w:r>
                </w:p>
              </w:tc>
              <w:tc>
                <w:tcPr>
                  <w:tcW w:w="94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default" w:ascii="Times New Roman" w:hAnsi="Times New Roman" w:eastAsia="仿宋" w:cs="Times New Roman"/>
                      <w:kern w:val="0"/>
                      <w:szCs w:val="21"/>
                      <w:vertAlign w:val="baseline"/>
                      <w:lang w:val="en-US" w:eastAsia="zh-CN"/>
                    </w:rPr>
                    <w:t>pH、COD、SS、NH</w:t>
                  </w:r>
                  <w:r>
                    <w:rPr>
                      <w:rFonts w:hint="default" w:ascii="Times New Roman" w:hAnsi="Times New Roman" w:eastAsia="仿宋" w:cs="Times New Roman"/>
                      <w:kern w:val="0"/>
                      <w:szCs w:val="21"/>
                      <w:vertAlign w:val="subscript"/>
                      <w:lang w:val="en-US" w:eastAsia="zh-CN"/>
                    </w:rPr>
                    <w:t>3</w:t>
                  </w:r>
                  <w:r>
                    <w:rPr>
                      <w:rFonts w:hint="default" w:ascii="Times New Roman" w:hAnsi="Times New Roman" w:eastAsia="仿宋" w:cs="Times New Roman"/>
                      <w:kern w:val="0"/>
                      <w:szCs w:val="21"/>
                      <w:vertAlign w:val="baseline"/>
                      <w:lang w:val="en-US" w:eastAsia="zh-CN"/>
                    </w:rPr>
                    <w:t>-N、TP、TN</w:t>
                  </w:r>
                </w:p>
              </w:tc>
              <w:tc>
                <w:tcPr>
                  <w:tcW w:w="73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每季度一次</w:t>
                  </w:r>
                </w:p>
              </w:tc>
              <w:tc>
                <w:tcPr>
                  <w:tcW w:w="12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lang w:eastAsia="zh-CN"/>
                    </w:rPr>
                    <w:t>《</w:t>
                  </w:r>
                  <w:r>
                    <w:rPr>
                      <w:rFonts w:hint="default" w:ascii="Times New Roman" w:hAnsi="Times New Roman" w:eastAsia="仿宋" w:cs="Times New Roman"/>
                      <w:kern w:val="0"/>
                      <w:szCs w:val="21"/>
                      <w:vertAlign w:val="baseline"/>
                      <w:lang w:val="en-US" w:eastAsia="zh-CN"/>
                    </w:rPr>
                    <w:t>污水排入城镇下水 道水质标准》（GB/T31962-2015）表一中B等级标准</w:t>
                  </w:r>
                  <w:r>
                    <w:rPr>
                      <w:rFonts w:hint="eastAsia" w:eastAsia="仿宋" w:cs="Times New Roman"/>
                      <w:kern w:val="0"/>
                      <w:szCs w:val="21"/>
                      <w:vertAlign w:val="baseline"/>
                      <w:lang w:val="en-US" w:eastAsia="zh-CN"/>
                    </w:rPr>
                    <w:t>及郑陆污水处理有限公司接管标准中较严格限值</w:t>
                  </w:r>
                </w:p>
              </w:tc>
              <w:tc>
                <w:tcPr>
                  <w:tcW w:w="731"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有资质的环境监测机构</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三、噪声</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（一）噪声源强及降噪措施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本项目主要噪声源为</w:t>
            </w:r>
            <w:r>
              <w:rPr>
                <w:rFonts w:hint="eastAsia" w:eastAsia="仿宋" w:cs="Times New Roman"/>
                <w:kern w:val="0"/>
                <w:sz w:val="24"/>
                <w:szCs w:val="24"/>
                <w:lang w:val="en-US" w:eastAsia="zh-CN"/>
              </w:rPr>
              <w:t>淬火炉、回火炉、压床等，</w:t>
            </w:r>
            <w:r>
              <w:rPr>
                <w:rFonts w:hint="eastAsia" w:ascii="Times New Roman" w:hAnsi="Times New Roman" w:eastAsia="仿宋" w:cs="Times New Roman"/>
                <w:kern w:val="0"/>
                <w:sz w:val="24"/>
                <w:szCs w:val="24"/>
                <w:lang w:val="en-US" w:eastAsia="zh-CN"/>
              </w:rPr>
              <w:t>均为小型设备，噪声值在6</w:t>
            </w:r>
            <w:r>
              <w:rPr>
                <w:rFonts w:hint="eastAsia" w:eastAsia="仿宋" w:cs="Times New Roman"/>
                <w:kern w:val="0"/>
                <w:sz w:val="24"/>
                <w:szCs w:val="24"/>
                <w:lang w:val="en-US" w:eastAsia="zh-CN"/>
              </w:rPr>
              <w:t>0</w:t>
            </w:r>
            <w:r>
              <w:rPr>
                <w:rFonts w:hint="eastAsia" w:ascii="Times New Roman" w:hAnsi="Times New Roman" w:eastAsia="仿宋" w:cs="Times New Roman"/>
                <w:kern w:val="0"/>
                <w:sz w:val="24"/>
                <w:szCs w:val="24"/>
                <w:lang w:val="en-US" w:eastAsia="zh-CN"/>
              </w:rPr>
              <w:t>~</w:t>
            </w:r>
            <w:r>
              <w:rPr>
                <w:rFonts w:hint="eastAsia" w:eastAsia="仿宋" w:cs="Times New Roman"/>
                <w:kern w:val="0"/>
                <w:sz w:val="24"/>
                <w:szCs w:val="24"/>
                <w:lang w:val="en-US" w:eastAsia="zh-CN"/>
              </w:rPr>
              <w:t>90分贝</w:t>
            </w:r>
            <w:r>
              <w:rPr>
                <w:rFonts w:hint="eastAsia" w:ascii="Times New Roman" w:hAnsi="Times New Roman" w:eastAsia="仿宋" w:cs="Times New Roman"/>
                <w:kern w:val="0"/>
                <w:sz w:val="24"/>
                <w:szCs w:val="24"/>
                <w:lang w:val="en-US" w:eastAsia="zh-CN"/>
              </w:rPr>
              <w:t>之间；项目选用低噪声设备，厂房安装隔声门窗。噪声持续排放时间为白天工作时长</w:t>
            </w:r>
            <w:r>
              <w:rPr>
                <w:rFonts w:hint="default" w:ascii="Times New Roman" w:hAnsi="Times New Roman" w:eastAsia="仿宋" w:cs="Times New Roman"/>
                <w:kern w:val="0"/>
                <w:sz w:val="24"/>
                <w:szCs w:val="24"/>
                <w:lang w:val="en-US" w:eastAsia="zh-CN"/>
              </w:rPr>
              <w:t>8h</w:t>
            </w:r>
            <w:r>
              <w:rPr>
                <w:rFonts w:hint="eastAsia" w:ascii="Times New Roman" w:hAnsi="Times New Roman" w:eastAsia="仿宋" w:cs="Times New Roman"/>
                <w:kern w:val="0"/>
                <w:sz w:val="24"/>
                <w:szCs w:val="24"/>
                <w:lang w:val="en-US" w:eastAsia="zh-CN"/>
              </w:rPr>
              <w:t>。本项目噪声源强</w:t>
            </w:r>
            <w:r>
              <w:rPr>
                <w:rFonts w:hint="eastAsia" w:eastAsia="仿宋" w:cs="Times New Roman"/>
                <w:kern w:val="0"/>
                <w:sz w:val="24"/>
                <w:szCs w:val="24"/>
                <w:lang w:val="en-US" w:eastAsia="zh-CN"/>
              </w:rPr>
              <w:t>以</w:t>
            </w:r>
            <w:r>
              <w:rPr>
                <w:rFonts w:hint="eastAsia" w:ascii="Times New Roman" w:hAnsi="Times New Roman" w:eastAsia="仿宋" w:cs="Times New Roman"/>
                <w:kern w:val="0"/>
                <w:sz w:val="24"/>
                <w:szCs w:val="24"/>
                <w:lang w:val="en-US" w:eastAsia="zh-CN"/>
              </w:rPr>
              <w:t>及离各厂界距离（以生产区离最近厂界的距离计算）见下表。</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w:t>
            </w:r>
            <w:r>
              <w:rPr>
                <w:rFonts w:hint="eastAsia" w:eastAsia="仿宋" w:cs="Times New Roman"/>
                <w:b/>
                <w:bCs/>
                <w:kern w:val="0"/>
                <w:sz w:val="24"/>
                <w:szCs w:val="24"/>
                <w:lang w:val="en-US" w:eastAsia="zh-CN"/>
              </w:rPr>
              <w:t>4-26</w:t>
            </w:r>
            <w:r>
              <w:rPr>
                <w:rFonts w:hint="default" w:ascii="Times New Roman" w:hAnsi="Times New Roman" w:eastAsia="仿宋" w:cs="Times New Roman"/>
                <w:b/>
                <w:bCs/>
                <w:kern w:val="0"/>
                <w:sz w:val="24"/>
                <w:szCs w:val="24"/>
                <w:lang w:val="en-US" w:eastAsia="zh-CN"/>
              </w:rPr>
              <w:t xml:space="preserve"> 本项目噪声防治措施一览表</w:t>
            </w:r>
          </w:p>
          <w:tbl>
            <w:tblPr>
              <w:tblStyle w:val="1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515"/>
              <w:gridCol w:w="1145"/>
              <w:gridCol w:w="1576"/>
              <w:gridCol w:w="1156"/>
              <w:gridCol w:w="1320"/>
              <w:gridCol w:w="13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0"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序号</w:t>
                  </w:r>
                </w:p>
              </w:tc>
              <w:tc>
                <w:tcPr>
                  <w:tcW w:w="893"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噪声源</w:t>
                  </w:r>
                </w:p>
              </w:tc>
              <w:tc>
                <w:tcPr>
                  <w:tcW w:w="675"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数量（台）</w:t>
                  </w:r>
                </w:p>
              </w:tc>
              <w:tc>
                <w:tcPr>
                  <w:tcW w:w="92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单台等效声级（dB（A））</w:t>
                  </w:r>
                </w:p>
              </w:tc>
              <w:tc>
                <w:tcPr>
                  <w:tcW w:w="681"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距厂界最近距离m</w:t>
                  </w:r>
                </w:p>
              </w:tc>
              <w:tc>
                <w:tcPr>
                  <w:tcW w:w="778"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防治措施</w:t>
                  </w:r>
                </w:p>
              </w:tc>
              <w:tc>
                <w:tcPr>
                  <w:tcW w:w="770"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降噪效果dB（A）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0"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000000"/>
                      <w:kern w:val="0"/>
                      <w:sz w:val="21"/>
                      <w:szCs w:val="21"/>
                      <w:highlight w:val="none"/>
                      <w:lang w:val="en-US" w:eastAsia="zh-CN"/>
                    </w:rPr>
                    <w:t>1</w:t>
                  </w:r>
                </w:p>
              </w:tc>
              <w:tc>
                <w:tcPr>
                  <w:tcW w:w="89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i w:val="0"/>
                      <w:color w:val="000000"/>
                      <w:kern w:val="0"/>
                      <w:sz w:val="21"/>
                      <w:szCs w:val="21"/>
                      <w:u w:val="none"/>
                      <w:lang w:val="en-US" w:eastAsia="zh-CN" w:bidi="ar"/>
                    </w:rPr>
                    <w:t>箱式电阻炉</w:t>
                  </w:r>
                </w:p>
              </w:tc>
              <w:tc>
                <w:tcPr>
                  <w:tcW w:w="67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000000"/>
                      <w:sz w:val="21"/>
                      <w:szCs w:val="21"/>
                      <w:highlight w:val="none"/>
                      <w:lang w:val="en-US" w:eastAsia="zh-CN"/>
                    </w:rPr>
                    <w:t>3</w:t>
                  </w:r>
                </w:p>
              </w:tc>
              <w:tc>
                <w:tcPr>
                  <w:tcW w:w="929"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000000"/>
                      <w:sz w:val="21"/>
                      <w:szCs w:val="21"/>
                      <w:highlight w:val="none"/>
                      <w:lang w:val="en-US" w:eastAsia="zh-CN"/>
                    </w:rPr>
                    <w:t>60</w:t>
                  </w:r>
                </w:p>
              </w:tc>
              <w:tc>
                <w:tcPr>
                  <w:tcW w:w="681" w:type="pct"/>
                  <w:tcBorders>
                    <w:tl2br w:val="nil"/>
                    <w:tr2bl w:val="nil"/>
                  </w:tcBorders>
                  <w:shd w:val="clear" w:color="auto" w:fill="auto"/>
                  <w:vAlign w:val="center"/>
                </w:tcPr>
                <w:p>
                  <w:pPr>
                    <w:pStyle w:val="40"/>
                    <w:ind w:firstLine="0" w:firstLineChars="0"/>
                    <w:rPr>
                      <w:rFonts w:hint="default" w:ascii="Times New Roman" w:hAnsi="Times New Roman" w:eastAsia="仿宋" w:cs="Times New Roman"/>
                      <w:kern w:val="0"/>
                      <w:sz w:val="21"/>
                      <w:szCs w:val="21"/>
                      <w:vertAlign w:val="baseline"/>
                      <w:lang w:val="en-US" w:eastAsia="zh-CN"/>
                    </w:rPr>
                  </w:pPr>
                  <w:r>
                    <w:rPr>
                      <w:rFonts w:hint="eastAsia" w:eastAsia="仿宋" w:cs="Times New Roman"/>
                      <w:color w:val="auto"/>
                      <w:sz w:val="21"/>
                      <w:szCs w:val="21"/>
                      <w:highlight w:val="none"/>
                      <w:lang w:val="en-US" w:eastAsia="zh-CN"/>
                    </w:rPr>
                    <w:t>10</w:t>
                  </w:r>
                </w:p>
              </w:tc>
              <w:tc>
                <w:tcPr>
                  <w:tcW w:w="778" w:type="pct"/>
                  <w:vMerge w:val="restar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厂房隔音</w:t>
                  </w:r>
                </w:p>
              </w:tc>
              <w:tc>
                <w:tcPr>
                  <w:tcW w:w="770" w:type="pct"/>
                  <w:vMerge w:val="restar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kern w:val="0"/>
                      <w:sz w:val="21"/>
                      <w:szCs w:val="21"/>
                      <w:vertAlign w:val="baseline"/>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0"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000000"/>
                      <w:kern w:val="0"/>
                      <w:sz w:val="21"/>
                      <w:szCs w:val="21"/>
                      <w:highlight w:val="none"/>
                      <w:lang w:val="en-US" w:eastAsia="zh-CN"/>
                    </w:rPr>
                    <w:t>2</w:t>
                  </w:r>
                </w:p>
              </w:tc>
              <w:tc>
                <w:tcPr>
                  <w:tcW w:w="89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i w:val="0"/>
                      <w:color w:val="000000"/>
                      <w:kern w:val="0"/>
                      <w:sz w:val="21"/>
                      <w:szCs w:val="21"/>
                      <w:u w:val="none"/>
                      <w:lang w:val="en-US" w:eastAsia="zh-CN" w:bidi="ar"/>
                    </w:rPr>
                    <w:t>井式淬火炉</w:t>
                  </w:r>
                </w:p>
              </w:tc>
              <w:tc>
                <w:tcPr>
                  <w:tcW w:w="67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000000"/>
                      <w:kern w:val="2"/>
                      <w:sz w:val="21"/>
                      <w:szCs w:val="21"/>
                      <w:highlight w:val="none"/>
                      <w:lang w:val="en-US" w:eastAsia="zh-CN" w:bidi="ar-SA"/>
                    </w:rPr>
                    <w:t>7</w:t>
                  </w:r>
                </w:p>
              </w:tc>
              <w:tc>
                <w:tcPr>
                  <w:tcW w:w="929"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000000"/>
                      <w:sz w:val="21"/>
                      <w:szCs w:val="21"/>
                      <w:highlight w:val="none"/>
                      <w:lang w:val="en-US" w:eastAsia="zh-CN"/>
                    </w:rPr>
                    <w:t>60</w:t>
                  </w:r>
                </w:p>
              </w:tc>
              <w:tc>
                <w:tcPr>
                  <w:tcW w:w="681"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eastAsia" w:eastAsia="仿宋" w:cs="Times New Roman"/>
                      <w:color w:val="auto"/>
                      <w:sz w:val="21"/>
                      <w:szCs w:val="21"/>
                      <w:highlight w:val="none"/>
                      <w:lang w:val="en-US" w:eastAsia="zh-CN"/>
                    </w:rPr>
                    <w:t>10</w:t>
                  </w:r>
                </w:p>
              </w:tc>
              <w:tc>
                <w:tcPr>
                  <w:tcW w:w="778" w:type="pct"/>
                  <w:vMerge w:val="continue"/>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p>
              </w:tc>
              <w:tc>
                <w:tcPr>
                  <w:tcW w:w="770" w:type="pct"/>
                  <w:vMerge w:val="continue"/>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0"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000000"/>
                      <w:kern w:val="0"/>
                      <w:sz w:val="21"/>
                      <w:szCs w:val="21"/>
                      <w:highlight w:val="none"/>
                      <w:lang w:val="en-US" w:eastAsia="zh-CN"/>
                    </w:rPr>
                    <w:t>3</w:t>
                  </w:r>
                </w:p>
              </w:tc>
              <w:tc>
                <w:tcPr>
                  <w:tcW w:w="89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i w:val="0"/>
                      <w:color w:val="000000"/>
                      <w:kern w:val="0"/>
                      <w:sz w:val="21"/>
                      <w:szCs w:val="21"/>
                      <w:u w:val="none"/>
                      <w:lang w:val="en-US" w:eastAsia="zh-CN" w:bidi="ar"/>
                    </w:rPr>
                    <w:t>井式回火炉</w:t>
                  </w:r>
                </w:p>
              </w:tc>
              <w:tc>
                <w:tcPr>
                  <w:tcW w:w="67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000000"/>
                      <w:kern w:val="0"/>
                      <w:sz w:val="21"/>
                      <w:szCs w:val="21"/>
                      <w:highlight w:val="none"/>
                      <w:lang w:val="en-US" w:eastAsia="zh-CN"/>
                    </w:rPr>
                    <w:t>4</w:t>
                  </w:r>
                </w:p>
              </w:tc>
              <w:tc>
                <w:tcPr>
                  <w:tcW w:w="929"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000000"/>
                      <w:kern w:val="0"/>
                      <w:sz w:val="21"/>
                      <w:szCs w:val="21"/>
                      <w:highlight w:val="none"/>
                      <w:lang w:val="en-US" w:eastAsia="zh-CN"/>
                    </w:rPr>
                    <w:t>60</w:t>
                  </w:r>
                </w:p>
              </w:tc>
              <w:tc>
                <w:tcPr>
                  <w:tcW w:w="681"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eastAsia" w:eastAsia="仿宋" w:cs="Times New Roman"/>
                      <w:color w:val="auto"/>
                      <w:sz w:val="21"/>
                      <w:szCs w:val="21"/>
                      <w:highlight w:val="none"/>
                      <w:lang w:val="en-US" w:eastAsia="zh-CN"/>
                    </w:rPr>
                    <w:t>15</w:t>
                  </w:r>
                </w:p>
              </w:tc>
              <w:tc>
                <w:tcPr>
                  <w:tcW w:w="778" w:type="pct"/>
                  <w:vMerge w:val="continue"/>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p>
              </w:tc>
              <w:tc>
                <w:tcPr>
                  <w:tcW w:w="770" w:type="pct"/>
                  <w:vMerge w:val="continue"/>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0"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000000"/>
                      <w:kern w:val="0"/>
                      <w:sz w:val="21"/>
                      <w:szCs w:val="21"/>
                      <w:highlight w:val="none"/>
                      <w:lang w:val="en-US" w:eastAsia="zh-CN"/>
                    </w:rPr>
                    <w:t>4</w:t>
                  </w:r>
                </w:p>
              </w:tc>
              <w:tc>
                <w:tcPr>
                  <w:tcW w:w="89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i w:val="0"/>
                      <w:color w:val="000000"/>
                      <w:kern w:val="0"/>
                      <w:sz w:val="21"/>
                      <w:szCs w:val="21"/>
                      <w:u w:val="none"/>
                      <w:lang w:val="en-US" w:eastAsia="zh-CN" w:bidi="ar"/>
                    </w:rPr>
                    <w:t>网带炉</w:t>
                  </w:r>
                </w:p>
              </w:tc>
              <w:tc>
                <w:tcPr>
                  <w:tcW w:w="67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000000"/>
                      <w:kern w:val="0"/>
                      <w:sz w:val="21"/>
                      <w:szCs w:val="21"/>
                      <w:highlight w:val="none"/>
                      <w:lang w:val="en-US" w:eastAsia="zh-CN"/>
                    </w:rPr>
                    <w:t>2</w:t>
                  </w:r>
                </w:p>
              </w:tc>
              <w:tc>
                <w:tcPr>
                  <w:tcW w:w="929"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default" w:ascii="Times New Roman" w:hAnsi="Times New Roman" w:eastAsia="仿宋" w:cs="Times New Roman"/>
                      <w:color w:val="000000"/>
                      <w:kern w:val="0"/>
                      <w:sz w:val="21"/>
                      <w:szCs w:val="21"/>
                      <w:highlight w:val="none"/>
                      <w:lang w:val="en-US" w:eastAsia="zh-CN"/>
                    </w:rPr>
                    <w:t>60</w:t>
                  </w:r>
                </w:p>
              </w:tc>
              <w:tc>
                <w:tcPr>
                  <w:tcW w:w="681"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kern w:val="0"/>
                      <w:sz w:val="21"/>
                      <w:szCs w:val="21"/>
                      <w:vertAlign w:val="baseline"/>
                      <w:lang w:val="en-US" w:eastAsia="zh-CN"/>
                    </w:rPr>
                  </w:pPr>
                  <w:r>
                    <w:rPr>
                      <w:rFonts w:hint="eastAsia" w:eastAsia="仿宋" w:cs="Times New Roman"/>
                      <w:color w:val="auto"/>
                      <w:sz w:val="21"/>
                      <w:szCs w:val="21"/>
                      <w:highlight w:val="none"/>
                      <w:lang w:val="en-US" w:eastAsia="zh-CN"/>
                    </w:rPr>
                    <w:t>15</w:t>
                  </w:r>
                </w:p>
              </w:tc>
              <w:tc>
                <w:tcPr>
                  <w:tcW w:w="778" w:type="pct"/>
                  <w:vMerge w:val="continue"/>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p>
              </w:tc>
              <w:tc>
                <w:tcPr>
                  <w:tcW w:w="770" w:type="pct"/>
                  <w:vMerge w:val="continue"/>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0"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000000"/>
                      <w:kern w:val="0"/>
                      <w:sz w:val="21"/>
                      <w:szCs w:val="21"/>
                      <w:highlight w:val="none"/>
                      <w:lang w:val="en-US" w:eastAsia="zh-CN"/>
                    </w:rPr>
                    <w:t>5</w:t>
                  </w:r>
                </w:p>
              </w:tc>
              <w:tc>
                <w:tcPr>
                  <w:tcW w:w="89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压床</w:t>
                  </w:r>
                </w:p>
              </w:tc>
              <w:tc>
                <w:tcPr>
                  <w:tcW w:w="67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000000"/>
                      <w:kern w:val="0"/>
                      <w:sz w:val="21"/>
                      <w:szCs w:val="21"/>
                      <w:highlight w:val="none"/>
                      <w:lang w:val="en-US" w:eastAsia="zh-CN"/>
                    </w:rPr>
                    <w:t>1</w:t>
                  </w:r>
                </w:p>
              </w:tc>
              <w:tc>
                <w:tcPr>
                  <w:tcW w:w="929"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000000"/>
                      <w:kern w:val="0"/>
                      <w:sz w:val="21"/>
                      <w:szCs w:val="21"/>
                      <w:highlight w:val="none"/>
                      <w:lang w:val="en-US" w:eastAsia="zh-CN"/>
                    </w:rPr>
                    <w:t>90</w:t>
                  </w:r>
                </w:p>
              </w:tc>
              <w:tc>
                <w:tcPr>
                  <w:tcW w:w="681"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15</w:t>
                  </w:r>
                </w:p>
              </w:tc>
              <w:tc>
                <w:tcPr>
                  <w:tcW w:w="778" w:type="pct"/>
                  <w:vMerge w:val="continue"/>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p>
              </w:tc>
              <w:tc>
                <w:tcPr>
                  <w:tcW w:w="770" w:type="pct"/>
                  <w:vMerge w:val="continue"/>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（二）排放情况</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经厂房隔声和距离衰减后，各厂界噪声情况见下表。</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w:t>
            </w:r>
            <w:r>
              <w:rPr>
                <w:rFonts w:hint="eastAsia" w:eastAsia="仿宋" w:cs="Times New Roman"/>
                <w:b/>
                <w:bCs/>
                <w:kern w:val="0"/>
                <w:sz w:val="24"/>
                <w:szCs w:val="24"/>
                <w:lang w:val="en-US" w:eastAsia="zh-CN"/>
              </w:rPr>
              <w:t>4-27</w:t>
            </w:r>
            <w:r>
              <w:rPr>
                <w:rFonts w:hint="default" w:ascii="Times New Roman" w:hAnsi="Times New Roman" w:eastAsia="仿宋" w:cs="Times New Roman"/>
                <w:b/>
                <w:bCs/>
                <w:kern w:val="0"/>
                <w:sz w:val="24"/>
                <w:szCs w:val="24"/>
                <w:lang w:val="en-US" w:eastAsia="zh-CN"/>
              </w:rPr>
              <w:t xml:space="preserve"> 本项目噪声防治措施一览表</w:t>
            </w:r>
          </w:p>
          <w:tbl>
            <w:tblPr>
              <w:tblStyle w:val="17"/>
              <w:tblW w:w="499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67"/>
              <w:gridCol w:w="2337"/>
              <w:gridCol w:w="1537"/>
              <w:gridCol w:w="1386"/>
              <w:gridCol w:w="12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1" w:type="pct"/>
                  <w:vMerge w:val="restar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eastAsia"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目标</w:t>
                  </w:r>
                </w:p>
              </w:tc>
              <w:tc>
                <w:tcPr>
                  <w:tcW w:w="1379" w:type="pct"/>
                  <w:vMerge w:val="restar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噪声源对目标贡献值</w:t>
                  </w:r>
                </w:p>
              </w:tc>
              <w:tc>
                <w:tcPr>
                  <w:tcW w:w="907"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本底噪声</w:t>
                  </w:r>
                </w:p>
              </w:tc>
              <w:tc>
                <w:tcPr>
                  <w:tcW w:w="818"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eastAsia"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厂界预测值</w:t>
                  </w:r>
                </w:p>
              </w:tc>
              <w:tc>
                <w:tcPr>
                  <w:tcW w:w="732"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eastAsia"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噪声标准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1" w:type="pct"/>
                  <w:vMerge w:val="continue"/>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eastAsia" w:ascii="Times New Roman" w:hAnsi="Times New Roman" w:eastAsia="仿宋" w:cs="Times New Roman"/>
                      <w:kern w:val="0"/>
                      <w:szCs w:val="21"/>
                      <w:vertAlign w:val="baseline"/>
                      <w:lang w:val="en-US" w:eastAsia="zh-CN"/>
                    </w:rPr>
                  </w:pPr>
                </w:p>
              </w:tc>
              <w:tc>
                <w:tcPr>
                  <w:tcW w:w="1379" w:type="pct"/>
                  <w:vMerge w:val="continue"/>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eastAsia" w:ascii="Times New Roman" w:hAnsi="Times New Roman" w:eastAsia="仿宋" w:cs="Times New Roman"/>
                      <w:kern w:val="0"/>
                      <w:szCs w:val="21"/>
                      <w:vertAlign w:val="baseline"/>
                      <w:lang w:val="en-US" w:eastAsia="zh-CN"/>
                    </w:rPr>
                  </w:pPr>
                </w:p>
              </w:tc>
              <w:tc>
                <w:tcPr>
                  <w:tcW w:w="907"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eastAsia"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昼间</w:t>
                  </w:r>
                </w:p>
              </w:tc>
              <w:tc>
                <w:tcPr>
                  <w:tcW w:w="818"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昼间</w:t>
                  </w:r>
                </w:p>
              </w:tc>
              <w:tc>
                <w:tcPr>
                  <w:tcW w:w="732"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昼间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1"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东厂界</w:t>
                  </w:r>
                </w:p>
              </w:tc>
              <w:tc>
                <w:tcPr>
                  <w:tcW w:w="2292"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26.3</w:t>
                  </w:r>
                </w:p>
              </w:tc>
              <w:tc>
                <w:tcPr>
                  <w:tcW w:w="1507"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58</w:t>
                  </w:r>
                </w:p>
              </w:tc>
              <w:tc>
                <w:tcPr>
                  <w:tcW w:w="1359"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58</w:t>
                  </w:r>
                </w:p>
              </w:tc>
              <w:tc>
                <w:tcPr>
                  <w:tcW w:w="7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cs="Times New Roman"/>
                      <w:color w:val="auto"/>
                      <w:sz w:val="21"/>
                      <w:szCs w:val="21"/>
                      <w:highlight w:val="none"/>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1"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西厂界</w:t>
                  </w:r>
                </w:p>
              </w:tc>
              <w:tc>
                <w:tcPr>
                  <w:tcW w:w="2292"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25.8</w:t>
                  </w:r>
                </w:p>
              </w:tc>
              <w:tc>
                <w:tcPr>
                  <w:tcW w:w="1507"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65</w:t>
                  </w:r>
                </w:p>
              </w:tc>
              <w:tc>
                <w:tcPr>
                  <w:tcW w:w="1359"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65</w:t>
                  </w:r>
                </w:p>
              </w:tc>
              <w:tc>
                <w:tcPr>
                  <w:tcW w:w="7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cs="Times New Roman"/>
                      <w:color w:val="auto"/>
                      <w:sz w:val="21"/>
                      <w:szCs w:val="21"/>
                      <w:highlight w:val="none"/>
                      <w:lang w:val="en-US" w:eastAsia="zh-CN"/>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1"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南厂界</w:t>
                  </w:r>
                </w:p>
              </w:tc>
              <w:tc>
                <w:tcPr>
                  <w:tcW w:w="2292"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45.6</w:t>
                  </w:r>
                </w:p>
              </w:tc>
              <w:tc>
                <w:tcPr>
                  <w:tcW w:w="1507"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65</w:t>
                  </w:r>
                </w:p>
              </w:tc>
              <w:tc>
                <w:tcPr>
                  <w:tcW w:w="1359"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65</w:t>
                  </w:r>
                </w:p>
              </w:tc>
              <w:tc>
                <w:tcPr>
                  <w:tcW w:w="7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cs="Times New Roman"/>
                      <w:color w:val="auto"/>
                      <w:sz w:val="21"/>
                      <w:szCs w:val="21"/>
                      <w:highlight w:val="none"/>
                      <w:lang w:val="en-US" w:eastAsia="zh-CN"/>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1"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北厂界</w:t>
                  </w:r>
                </w:p>
              </w:tc>
              <w:tc>
                <w:tcPr>
                  <w:tcW w:w="2292"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42.5</w:t>
                  </w:r>
                </w:p>
              </w:tc>
              <w:tc>
                <w:tcPr>
                  <w:tcW w:w="1507"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59</w:t>
                  </w:r>
                </w:p>
              </w:tc>
              <w:tc>
                <w:tcPr>
                  <w:tcW w:w="1359"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59</w:t>
                  </w:r>
                </w:p>
              </w:tc>
              <w:tc>
                <w:tcPr>
                  <w:tcW w:w="7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cs="Times New Roman"/>
                      <w:color w:val="auto"/>
                      <w:sz w:val="21"/>
                      <w:szCs w:val="21"/>
                      <w:highlight w:val="none"/>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1"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陈家头</w:t>
                  </w:r>
                </w:p>
              </w:tc>
              <w:tc>
                <w:tcPr>
                  <w:tcW w:w="2292"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18.2</w:t>
                  </w:r>
                </w:p>
              </w:tc>
              <w:tc>
                <w:tcPr>
                  <w:tcW w:w="1507"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49</w:t>
                  </w:r>
                </w:p>
              </w:tc>
              <w:tc>
                <w:tcPr>
                  <w:tcW w:w="1359" w:type="dxa"/>
                  <w:tcBorders>
                    <w:tl2br w:val="nil"/>
                    <w:tr2bl w:val="nil"/>
                  </w:tcBorders>
                  <w:shd w:val="clear" w:color="auto" w:fill="auto"/>
                  <w:vAlign w:val="center"/>
                </w:tcPr>
                <w:p>
                  <w:pPr>
                    <w:keepNext w:val="0"/>
                    <w:keepLines w:val="0"/>
                    <w:widowControl/>
                    <w:suppressLineNumbers w:val="0"/>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49</w:t>
                  </w:r>
                </w:p>
              </w:tc>
              <w:tc>
                <w:tcPr>
                  <w:tcW w:w="7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kern w:val="0"/>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60</w:t>
                  </w:r>
                </w:p>
              </w:tc>
            </w:tr>
          </w:tbl>
          <w:p>
            <w:pPr>
              <w:pStyle w:val="2"/>
              <w:jc w:val="center"/>
              <w:rPr>
                <w:rFonts w:hint="eastAsia"/>
                <w:lang w:val="en-US" w:eastAsia="zh-CN"/>
              </w:rPr>
            </w:pPr>
            <w:r>
              <w:drawing>
                <wp:inline distT="0" distB="0" distL="114300" distR="114300">
                  <wp:extent cx="4726940" cy="2922270"/>
                  <wp:effectExtent l="0" t="0" r="16510" b="1143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8"/>
                          <a:stretch>
                            <a:fillRect/>
                          </a:stretch>
                        </pic:blipFill>
                        <pic:spPr>
                          <a:xfrm>
                            <a:off x="0" y="0"/>
                            <a:ext cx="4726940" cy="29222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0" w:firstLineChars="0"/>
              <w:jc w:val="center"/>
              <w:textAlignment w:val="auto"/>
              <w:rPr>
                <w:rFonts w:hint="default" w:ascii="Times New Roman" w:hAnsi="Times New Roman" w:eastAsia="仿宋" w:cs="Times New Roman"/>
                <w:b/>
                <w:bCs/>
                <w:kern w:val="0"/>
                <w:sz w:val="24"/>
                <w:szCs w:val="24"/>
                <w:lang w:val="en-US" w:eastAsia="zh-CN"/>
              </w:rPr>
            </w:pPr>
            <w:r>
              <w:rPr>
                <w:rFonts w:hint="eastAsia" w:eastAsia="仿宋" w:cs="Times New Roman"/>
                <w:b/>
                <w:bCs/>
                <w:kern w:val="0"/>
                <w:sz w:val="24"/>
                <w:szCs w:val="24"/>
                <w:lang w:val="en-US" w:eastAsia="zh-CN"/>
              </w:rPr>
              <w:t>图4-3 噪声二级预测图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由上表可知，本项目建成后，噪声源经过建筑物、距离衰减，北侧敏感点</w:t>
            </w:r>
            <w:r>
              <w:rPr>
                <w:rFonts w:hint="eastAsia" w:eastAsia="仿宋" w:cs="Times New Roman"/>
                <w:kern w:val="0"/>
                <w:sz w:val="24"/>
                <w:szCs w:val="24"/>
                <w:lang w:val="en-US" w:eastAsia="zh-CN"/>
              </w:rPr>
              <w:t>陈家头、东、北</w:t>
            </w:r>
            <w:r>
              <w:rPr>
                <w:rFonts w:hint="eastAsia" w:ascii="Times New Roman" w:hAnsi="Times New Roman" w:eastAsia="仿宋" w:cs="Times New Roman"/>
                <w:kern w:val="0"/>
                <w:sz w:val="24"/>
                <w:szCs w:val="24"/>
                <w:lang w:val="en-US" w:eastAsia="zh-CN"/>
              </w:rPr>
              <w:t>厂界噪声可达到《工业企业厂界环境噪声排放标准》（GB12348-2008）</w:t>
            </w:r>
            <w:r>
              <w:rPr>
                <w:rFonts w:hint="eastAsia" w:eastAsia="仿宋" w:cs="Times New Roman"/>
                <w:kern w:val="0"/>
                <w:sz w:val="24"/>
                <w:szCs w:val="24"/>
                <w:lang w:val="en-US" w:eastAsia="zh-CN"/>
              </w:rPr>
              <w:t>2</w:t>
            </w:r>
            <w:r>
              <w:rPr>
                <w:rFonts w:hint="eastAsia" w:ascii="Times New Roman" w:hAnsi="Times New Roman" w:eastAsia="仿宋" w:cs="Times New Roman"/>
                <w:kern w:val="0"/>
                <w:sz w:val="24"/>
                <w:szCs w:val="24"/>
                <w:lang w:val="en-US" w:eastAsia="zh-CN"/>
              </w:rPr>
              <w:t>类标准，</w:t>
            </w:r>
            <w:r>
              <w:rPr>
                <w:rFonts w:hint="eastAsia" w:eastAsia="仿宋" w:cs="Times New Roman"/>
                <w:kern w:val="0"/>
                <w:sz w:val="24"/>
                <w:szCs w:val="24"/>
                <w:lang w:val="en-US" w:eastAsia="zh-CN"/>
              </w:rPr>
              <w:t>西、南厂界</w:t>
            </w:r>
            <w:r>
              <w:rPr>
                <w:rFonts w:hint="eastAsia" w:ascii="Times New Roman" w:hAnsi="Times New Roman" w:eastAsia="仿宋" w:cs="Times New Roman"/>
                <w:kern w:val="0"/>
                <w:sz w:val="24"/>
                <w:szCs w:val="24"/>
                <w:lang w:val="en-US" w:eastAsia="zh-CN"/>
              </w:rPr>
              <w:t>能达到</w:t>
            </w:r>
            <w:r>
              <w:rPr>
                <w:rFonts w:hint="eastAsia" w:eastAsia="仿宋" w:cs="Times New Roman"/>
                <w:kern w:val="0"/>
                <w:sz w:val="24"/>
                <w:szCs w:val="24"/>
                <w:lang w:val="en-US" w:eastAsia="zh-CN"/>
              </w:rPr>
              <w:t>4</w:t>
            </w:r>
            <w:r>
              <w:rPr>
                <w:rFonts w:hint="eastAsia" w:ascii="Times New Roman" w:hAnsi="Times New Roman" w:eastAsia="仿宋" w:cs="Times New Roman"/>
                <w:kern w:val="0"/>
                <w:sz w:val="24"/>
                <w:szCs w:val="24"/>
                <w:lang w:val="en-US" w:eastAsia="zh-CN"/>
              </w:rPr>
              <w:t>类标准。</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（三）监测要求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eastAsia" w:ascii="Times New Roman" w:hAnsi="Times New Roman" w:eastAsia="仿宋" w:cs="Times New Roman"/>
                <w:b w:val="0"/>
                <w:bCs w:val="0"/>
                <w:kern w:val="0"/>
                <w:sz w:val="24"/>
                <w:szCs w:val="24"/>
                <w:lang w:val="en-US" w:eastAsia="zh-CN"/>
              </w:rPr>
            </w:pPr>
            <w:r>
              <w:rPr>
                <w:rFonts w:hint="eastAsia" w:ascii="Times New Roman" w:hAnsi="Times New Roman" w:eastAsia="仿宋" w:cs="Times New Roman"/>
                <w:kern w:val="0"/>
                <w:sz w:val="24"/>
                <w:szCs w:val="24"/>
                <w:lang w:val="en-US" w:eastAsia="zh-CN"/>
              </w:rPr>
              <w:t>根据《排污单位自行监测技术指南 总则》（HJ819-2017）中的相关监测要求，本项目</w:t>
            </w:r>
            <w:r>
              <w:rPr>
                <w:rFonts w:hint="eastAsia" w:eastAsia="仿宋" w:cs="Times New Roman"/>
                <w:kern w:val="0"/>
                <w:sz w:val="24"/>
                <w:szCs w:val="24"/>
                <w:lang w:val="en-US" w:eastAsia="zh-CN"/>
              </w:rPr>
              <w:t>噪声</w:t>
            </w:r>
            <w:r>
              <w:rPr>
                <w:rFonts w:hint="eastAsia" w:ascii="Times New Roman" w:hAnsi="Times New Roman" w:eastAsia="仿宋" w:cs="Times New Roman"/>
                <w:kern w:val="0"/>
                <w:sz w:val="24"/>
                <w:szCs w:val="24"/>
                <w:lang w:val="en-US" w:eastAsia="zh-CN"/>
              </w:rPr>
              <w:t>监测计划如下表。</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表</w:t>
            </w:r>
            <w:r>
              <w:rPr>
                <w:rFonts w:hint="eastAsia" w:eastAsia="仿宋" w:cs="Times New Roman"/>
                <w:b/>
                <w:bCs/>
                <w:kern w:val="0"/>
                <w:sz w:val="24"/>
                <w:szCs w:val="24"/>
                <w:lang w:val="en-US" w:eastAsia="zh-CN"/>
              </w:rPr>
              <w:t>4-28</w:t>
            </w:r>
            <w:r>
              <w:rPr>
                <w:rFonts w:hint="eastAsia" w:ascii="Times New Roman" w:hAnsi="Times New Roman" w:eastAsia="仿宋" w:cs="Times New Roman"/>
                <w:b/>
                <w:bCs/>
                <w:kern w:val="0"/>
                <w:sz w:val="24"/>
                <w:szCs w:val="24"/>
                <w:lang w:val="en-US" w:eastAsia="zh-CN"/>
              </w:rPr>
              <w:t xml:space="preserve"> 环境监测计划</w:t>
            </w:r>
          </w:p>
          <w:tbl>
            <w:tblPr>
              <w:tblStyle w:val="1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38"/>
              <w:gridCol w:w="947"/>
              <w:gridCol w:w="2150"/>
              <w:gridCol w:w="1298"/>
              <w:gridCol w:w="1771"/>
              <w:gridCol w:w="12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12"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类别</w:t>
                  </w:r>
                </w:p>
              </w:tc>
              <w:tc>
                <w:tcPr>
                  <w:tcW w:w="55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监测位置</w:t>
                  </w:r>
                </w:p>
              </w:tc>
              <w:tc>
                <w:tcPr>
                  <w:tcW w:w="1267"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监测指标</w:t>
                  </w:r>
                </w:p>
              </w:tc>
              <w:tc>
                <w:tcPr>
                  <w:tcW w:w="7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监测频率</w:t>
                  </w:r>
                </w:p>
              </w:tc>
              <w:tc>
                <w:tcPr>
                  <w:tcW w:w="104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排放标准</w:t>
                  </w:r>
                </w:p>
              </w:tc>
              <w:tc>
                <w:tcPr>
                  <w:tcW w:w="750"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监测单位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12"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噪声</w:t>
                  </w:r>
                </w:p>
              </w:tc>
              <w:tc>
                <w:tcPr>
                  <w:tcW w:w="55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东、北</w:t>
                  </w:r>
                  <w:r>
                    <w:rPr>
                      <w:rFonts w:hint="eastAsia" w:ascii="Times New Roman" w:hAnsi="Times New Roman" w:eastAsia="仿宋" w:cs="Times New Roman"/>
                      <w:kern w:val="0"/>
                      <w:szCs w:val="21"/>
                      <w:vertAlign w:val="baseline"/>
                      <w:lang w:val="en-US" w:eastAsia="zh-CN"/>
                    </w:rPr>
                    <w:t>厂界</w:t>
                  </w:r>
                </w:p>
              </w:tc>
              <w:tc>
                <w:tcPr>
                  <w:tcW w:w="1267"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连续等效A声级</w:t>
                  </w:r>
                </w:p>
              </w:tc>
              <w:tc>
                <w:tcPr>
                  <w:tcW w:w="765"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每</w:t>
                  </w:r>
                  <w:r>
                    <w:rPr>
                      <w:rFonts w:hint="eastAsia" w:eastAsia="仿宋" w:cs="Times New Roman"/>
                      <w:kern w:val="0"/>
                      <w:szCs w:val="21"/>
                      <w:vertAlign w:val="baseline"/>
                      <w:lang w:val="en-US" w:eastAsia="zh-CN"/>
                    </w:rPr>
                    <w:t>季度</w:t>
                  </w:r>
                  <w:r>
                    <w:rPr>
                      <w:rFonts w:hint="eastAsia" w:ascii="Times New Roman" w:hAnsi="Times New Roman" w:eastAsia="仿宋" w:cs="Times New Roman"/>
                      <w:kern w:val="0"/>
                      <w:szCs w:val="21"/>
                      <w:vertAlign w:val="baseline"/>
                      <w:lang w:val="en-US" w:eastAsia="zh-CN"/>
                    </w:rPr>
                    <w:t>一次</w:t>
                  </w:r>
                </w:p>
              </w:tc>
              <w:tc>
                <w:tcPr>
                  <w:tcW w:w="104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w:t>
                  </w:r>
                  <w:r>
                    <w:rPr>
                      <w:rFonts w:hint="default" w:ascii="Times New Roman" w:hAnsi="Times New Roman" w:eastAsia="仿宋" w:cs="Times New Roman"/>
                      <w:kern w:val="0"/>
                      <w:szCs w:val="21"/>
                      <w:vertAlign w:val="baseline"/>
                      <w:lang w:val="en-US" w:eastAsia="zh-CN"/>
                    </w:rPr>
                    <w:t>工业企业厂界环境噪声排放标准》（GB12348-2008）</w:t>
                  </w:r>
                  <w:r>
                    <w:rPr>
                      <w:rFonts w:hint="eastAsia" w:eastAsia="仿宋" w:cs="Times New Roman"/>
                      <w:kern w:val="0"/>
                      <w:szCs w:val="21"/>
                      <w:vertAlign w:val="baseline"/>
                      <w:lang w:val="en-US" w:eastAsia="zh-CN"/>
                    </w:rPr>
                    <w:t>2</w:t>
                  </w:r>
                  <w:r>
                    <w:rPr>
                      <w:rFonts w:hint="default" w:ascii="Times New Roman" w:hAnsi="Times New Roman" w:eastAsia="仿宋" w:cs="Times New Roman"/>
                      <w:kern w:val="0"/>
                      <w:szCs w:val="21"/>
                      <w:vertAlign w:val="baseline"/>
                      <w:lang w:val="en-US" w:eastAsia="zh-CN"/>
                    </w:rPr>
                    <w:t>类标准</w:t>
                  </w:r>
                </w:p>
              </w:tc>
              <w:tc>
                <w:tcPr>
                  <w:tcW w:w="75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有资质的环境监测机构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1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eastAsia" w:ascii="Times New Roman" w:hAnsi="Times New Roman" w:eastAsia="仿宋" w:cs="Times New Roman"/>
                      <w:kern w:val="0"/>
                      <w:szCs w:val="21"/>
                      <w:vertAlign w:val="baseline"/>
                      <w:lang w:val="en-US" w:eastAsia="zh-CN"/>
                    </w:rPr>
                  </w:pPr>
                </w:p>
              </w:tc>
              <w:tc>
                <w:tcPr>
                  <w:tcW w:w="558"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eastAsia"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西、南</w:t>
                  </w:r>
                  <w:r>
                    <w:rPr>
                      <w:rFonts w:hint="eastAsia" w:ascii="Times New Roman" w:hAnsi="Times New Roman" w:eastAsia="仿宋" w:cs="Times New Roman"/>
                      <w:kern w:val="0"/>
                      <w:szCs w:val="21"/>
                      <w:vertAlign w:val="baseline"/>
                      <w:lang w:val="en-US" w:eastAsia="zh-CN"/>
                    </w:rPr>
                    <w:t>厂界</w:t>
                  </w:r>
                </w:p>
              </w:tc>
              <w:tc>
                <w:tcPr>
                  <w:tcW w:w="1267"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eastAsia" w:ascii="Times New Roman" w:hAnsi="Times New Roman" w:eastAsia="仿宋" w:cs="Times New Roman"/>
                      <w:kern w:val="0"/>
                      <w:szCs w:val="21"/>
                      <w:vertAlign w:val="baseline"/>
                      <w:lang w:val="en-US" w:eastAsia="zh-CN"/>
                    </w:rPr>
                  </w:pPr>
                  <w:r>
                    <w:rPr>
                      <w:rFonts w:hint="eastAsia" w:ascii="Times New Roman" w:hAnsi="Times New Roman" w:eastAsia="仿宋" w:cs="Times New Roman"/>
                      <w:kern w:val="0"/>
                      <w:szCs w:val="21"/>
                      <w:vertAlign w:val="baseline"/>
                      <w:lang w:val="en-US" w:eastAsia="zh-CN"/>
                    </w:rPr>
                    <w:t>连续等效A声级</w:t>
                  </w:r>
                </w:p>
              </w:tc>
              <w:tc>
                <w:tcPr>
                  <w:tcW w:w="7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eastAsia" w:ascii="Times New Roman" w:hAnsi="Times New Roman" w:eastAsia="仿宋" w:cs="Times New Roman"/>
                      <w:kern w:val="0"/>
                      <w:szCs w:val="21"/>
                      <w:vertAlign w:val="baseline"/>
                      <w:lang w:val="en-US" w:eastAsia="zh-CN"/>
                    </w:rPr>
                  </w:pPr>
                </w:p>
              </w:tc>
              <w:tc>
                <w:tcPr>
                  <w:tcW w:w="1044" w:type="pc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default" w:ascii="Times New Roman" w:hAnsi="Times New Roman" w:eastAsia="仿宋" w:cs="Times New Roman"/>
                      <w:kern w:val="0"/>
                      <w:szCs w:val="21"/>
                      <w:vertAlign w:val="baseline"/>
                      <w:lang w:val="en-US" w:eastAsia="zh-CN"/>
                    </w:rPr>
                  </w:pPr>
                  <w:r>
                    <w:rPr>
                      <w:rFonts w:hint="eastAsia" w:eastAsia="仿宋" w:cs="Times New Roman"/>
                      <w:kern w:val="0"/>
                      <w:szCs w:val="21"/>
                      <w:vertAlign w:val="baseline"/>
                      <w:lang w:val="en-US" w:eastAsia="zh-CN"/>
                    </w:rPr>
                    <w:t>《</w:t>
                  </w:r>
                  <w:r>
                    <w:rPr>
                      <w:rFonts w:hint="default" w:ascii="Times New Roman" w:hAnsi="Times New Roman" w:eastAsia="仿宋" w:cs="Times New Roman"/>
                      <w:kern w:val="0"/>
                      <w:szCs w:val="21"/>
                      <w:vertAlign w:val="baseline"/>
                      <w:lang w:val="en-US" w:eastAsia="zh-CN"/>
                    </w:rPr>
                    <w:t>工业企业厂界环境噪声排放标准》（GB12348-2008）</w:t>
                  </w:r>
                  <w:r>
                    <w:rPr>
                      <w:rFonts w:hint="eastAsia" w:eastAsia="仿宋" w:cs="Times New Roman"/>
                      <w:kern w:val="0"/>
                      <w:szCs w:val="21"/>
                      <w:vertAlign w:val="baseline"/>
                      <w:lang w:val="en-US" w:eastAsia="zh-CN"/>
                    </w:rPr>
                    <w:t>4</w:t>
                  </w:r>
                  <w:r>
                    <w:rPr>
                      <w:rFonts w:hint="default" w:ascii="Times New Roman" w:hAnsi="Times New Roman" w:eastAsia="仿宋" w:cs="Times New Roman"/>
                      <w:kern w:val="0"/>
                      <w:szCs w:val="21"/>
                      <w:vertAlign w:val="baseline"/>
                      <w:lang w:val="en-US" w:eastAsia="zh-CN"/>
                    </w:rPr>
                    <w:t>类标准</w:t>
                  </w:r>
                </w:p>
              </w:tc>
              <w:tc>
                <w:tcPr>
                  <w:tcW w:w="7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12" w:lineRule="exact"/>
                    <w:jc w:val="center"/>
                    <w:textAlignment w:val="auto"/>
                    <w:rPr>
                      <w:rFonts w:hint="eastAsia" w:ascii="Times New Roman" w:hAnsi="Times New Roman" w:eastAsia="仿宋" w:cs="Times New Roman"/>
                      <w:kern w:val="0"/>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四、固体废物</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（一）产生环节</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本项目固体废物主要有职工的生活垃圾、废</w:t>
            </w:r>
            <w:r>
              <w:rPr>
                <w:rFonts w:hint="eastAsia" w:eastAsia="仿宋" w:cs="Times New Roman"/>
                <w:kern w:val="0"/>
                <w:sz w:val="24"/>
                <w:szCs w:val="24"/>
                <w:lang w:val="en-US" w:eastAsia="zh-CN"/>
              </w:rPr>
              <w:t>油</w:t>
            </w:r>
            <w:r>
              <w:rPr>
                <w:rFonts w:hint="default" w:ascii="Times New Roman" w:hAnsi="Times New Roman" w:eastAsia="仿宋" w:cs="Times New Roman"/>
                <w:kern w:val="0"/>
                <w:sz w:val="24"/>
                <w:szCs w:val="24"/>
                <w:lang w:val="en-US" w:eastAsia="zh-CN"/>
              </w:rPr>
              <w:t>桶、</w:t>
            </w:r>
            <w:r>
              <w:rPr>
                <w:rFonts w:hint="eastAsia" w:eastAsia="仿宋" w:cs="Times New Roman"/>
                <w:kern w:val="0"/>
                <w:sz w:val="24"/>
                <w:szCs w:val="24"/>
                <w:lang w:val="en-US" w:eastAsia="zh-CN"/>
              </w:rPr>
              <w:t>废甲醇桶、</w:t>
            </w:r>
            <w:r>
              <w:rPr>
                <w:rFonts w:hint="default" w:ascii="Times New Roman" w:hAnsi="Times New Roman" w:eastAsia="仿宋" w:cs="Times New Roman"/>
                <w:kern w:val="0"/>
                <w:sz w:val="24"/>
                <w:szCs w:val="24"/>
                <w:lang w:val="en-US" w:eastAsia="zh-CN"/>
              </w:rPr>
              <w:t>废</w:t>
            </w:r>
            <w:r>
              <w:rPr>
                <w:rFonts w:hint="eastAsia" w:eastAsia="仿宋" w:cs="Times New Roman"/>
                <w:kern w:val="0"/>
                <w:sz w:val="24"/>
                <w:szCs w:val="24"/>
                <w:lang w:val="en-US" w:eastAsia="zh-CN"/>
              </w:rPr>
              <w:t>油渣</w:t>
            </w:r>
            <w:r>
              <w:rPr>
                <w:rFonts w:hint="default" w:ascii="Times New Roman" w:hAnsi="Times New Roman" w:eastAsia="仿宋" w:cs="Times New Roman"/>
                <w:kern w:val="0"/>
                <w:sz w:val="24"/>
                <w:szCs w:val="24"/>
                <w:lang w:val="en-US" w:eastAsia="zh-CN"/>
              </w:rPr>
              <w:t>、废UV灯管、废活性炭等。</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（1）职工生活垃圾：本项目职工10人，全年工作300天，生活垃圾产生量以0.5kg/人·d计，则营运期产生的生活垃圾为1.5t/a，收集后由环卫部门统一处理，不会对环境造成影响。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（2）废UV灯管：本项目废气处理过程中光氧催化处理产生的废灯管约</w:t>
            </w:r>
            <w:r>
              <w:rPr>
                <w:rFonts w:hint="eastAsia" w:eastAsia="仿宋" w:cs="Times New Roman"/>
                <w:kern w:val="0"/>
                <w:sz w:val="24"/>
                <w:szCs w:val="24"/>
                <w:lang w:val="en-US" w:eastAsia="zh-CN"/>
              </w:rPr>
              <w:t>10</w:t>
            </w:r>
            <w:r>
              <w:rPr>
                <w:rFonts w:hint="eastAsia" w:ascii="Times New Roman" w:hAnsi="Times New Roman" w:eastAsia="仿宋" w:cs="Times New Roman"/>
                <w:kern w:val="0"/>
                <w:sz w:val="24"/>
                <w:szCs w:val="24"/>
                <w:lang w:val="en-US" w:eastAsia="zh-CN"/>
              </w:rPr>
              <w:t>个/a，每个约0.5kg，总产量为0.0</w:t>
            </w:r>
            <w:r>
              <w:rPr>
                <w:rFonts w:hint="eastAsia" w:eastAsia="仿宋" w:cs="Times New Roman"/>
                <w:kern w:val="0"/>
                <w:sz w:val="24"/>
                <w:szCs w:val="24"/>
                <w:lang w:val="en-US" w:eastAsia="zh-CN"/>
              </w:rPr>
              <w:t>05</w:t>
            </w:r>
            <w:r>
              <w:rPr>
                <w:rFonts w:hint="eastAsia" w:ascii="Times New Roman" w:hAnsi="Times New Roman" w:eastAsia="仿宋" w:cs="Times New Roman"/>
                <w:kern w:val="0"/>
                <w:sz w:val="24"/>
                <w:szCs w:val="24"/>
                <w:lang w:val="en-US" w:eastAsia="zh-CN"/>
              </w:rPr>
              <w:t>t/a。收集后委托有资质单位处置。</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（3）废活性炭：本项目1#排气筒产生有机废气1.62t/a，其中</w:t>
            </w:r>
            <w:r>
              <w:rPr>
                <w:rFonts w:hint="eastAsia" w:eastAsia="仿宋" w:cs="Times New Roman"/>
                <w:kern w:val="0"/>
                <w:sz w:val="24"/>
                <w:szCs w:val="24"/>
                <w:lang w:val="en-US" w:eastAsia="zh-CN"/>
              </w:rPr>
              <w:t>UV光氧化</w:t>
            </w:r>
            <w:r>
              <w:rPr>
                <w:rFonts w:hint="eastAsia" w:ascii="Times New Roman" w:hAnsi="Times New Roman" w:eastAsia="仿宋" w:cs="Times New Roman"/>
                <w:kern w:val="0"/>
                <w:sz w:val="24"/>
                <w:szCs w:val="24"/>
                <w:lang w:val="en-US" w:eastAsia="zh-CN"/>
              </w:rPr>
              <w:t>去除效率为50%，活性炭去除效果取</w:t>
            </w:r>
            <w:r>
              <w:rPr>
                <w:rFonts w:hint="eastAsia" w:eastAsia="仿宋" w:cs="Times New Roman"/>
                <w:kern w:val="0"/>
                <w:sz w:val="24"/>
                <w:szCs w:val="24"/>
                <w:lang w:val="en-US" w:eastAsia="zh-CN"/>
              </w:rPr>
              <w:t>8</w:t>
            </w:r>
            <w:r>
              <w:rPr>
                <w:rFonts w:hint="eastAsia" w:ascii="Times New Roman" w:hAnsi="Times New Roman" w:eastAsia="仿宋" w:cs="Times New Roman"/>
                <w:kern w:val="0"/>
                <w:sz w:val="24"/>
                <w:szCs w:val="24"/>
                <w:lang w:val="en-US" w:eastAsia="zh-CN"/>
              </w:rPr>
              <w:t>0%，则经活性炭吸附的有机废气量</w:t>
            </w:r>
            <w:r>
              <w:rPr>
                <w:rFonts w:hint="eastAsia" w:eastAsia="仿宋" w:cs="Times New Roman"/>
                <w:kern w:val="0"/>
                <w:sz w:val="24"/>
                <w:szCs w:val="24"/>
                <w:lang w:val="en-US" w:eastAsia="zh-CN"/>
              </w:rPr>
              <w:t>0.648</w:t>
            </w:r>
            <w:r>
              <w:rPr>
                <w:rFonts w:hint="eastAsia" w:ascii="Times New Roman" w:hAnsi="Times New Roman" w:eastAsia="仿宋" w:cs="Times New Roman"/>
                <w:kern w:val="0"/>
                <w:sz w:val="24"/>
                <w:szCs w:val="24"/>
                <w:lang w:val="en-US" w:eastAsia="zh-CN"/>
              </w:rPr>
              <w:t>t/a，本项目活性炭装填量为1t，每三个月更换一次，即废活性炭的产生量为4.</w:t>
            </w:r>
            <w:r>
              <w:rPr>
                <w:rFonts w:hint="eastAsia" w:eastAsia="仿宋" w:cs="Times New Roman"/>
                <w:kern w:val="0"/>
                <w:sz w:val="24"/>
                <w:szCs w:val="24"/>
                <w:lang w:val="en-US" w:eastAsia="zh-CN"/>
              </w:rPr>
              <w:t>648</w:t>
            </w:r>
            <w:r>
              <w:rPr>
                <w:rFonts w:hint="eastAsia" w:ascii="Times New Roman" w:hAnsi="Times New Roman" w:eastAsia="仿宋" w:cs="Times New Roman"/>
                <w:kern w:val="0"/>
                <w:sz w:val="24"/>
                <w:szCs w:val="24"/>
                <w:lang w:val="en-US" w:eastAsia="zh-CN"/>
              </w:rPr>
              <w:t>t/a。废活性炭收集后委托有资质单位处置。</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（4）废</w:t>
            </w:r>
            <w:r>
              <w:rPr>
                <w:rFonts w:hint="eastAsia" w:eastAsia="仿宋" w:cs="Times New Roman"/>
                <w:kern w:val="0"/>
                <w:sz w:val="24"/>
                <w:szCs w:val="24"/>
                <w:lang w:val="en-US" w:eastAsia="zh-CN"/>
              </w:rPr>
              <w:t>油</w:t>
            </w:r>
            <w:r>
              <w:rPr>
                <w:rFonts w:hint="eastAsia" w:ascii="Times New Roman" w:hAnsi="Times New Roman" w:eastAsia="仿宋" w:cs="Times New Roman"/>
                <w:kern w:val="0"/>
                <w:sz w:val="24"/>
                <w:szCs w:val="24"/>
                <w:lang w:val="en-US" w:eastAsia="zh-CN"/>
              </w:rPr>
              <w:t>桶：本项目年使用淬火油3t/a，包装规格为160kg/桶，则淬火油废包装桶产生约19个，每个包装桶重20kg</w:t>
            </w:r>
            <w:r>
              <w:rPr>
                <w:rFonts w:hint="eastAsia" w:eastAsia="仿宋" w:cs="Times New Roman"/>
                <w:kern w:val="0"/>
                <w:sz w:val="24"/>
                <w:szCs w:val="24"/>
                <w:lang w:val="en-US" w:eastAsia="zh-CN"/>
              </w:rPr>
              <w:t>，总产生量为0.38t/a</w:t>
            </w:r>
            <w:r>
              <w:rPr>
                <w:rFonts w:hint="eastAsia" w:ascii="Times New Roman" w:hAnsi="Times New Roman" w:eastAsia="仿宋" w:cs="Times New Roman"/>
                <w:kern w:val="0"/>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废甲醇桶：本项目甲醇年使用量为8t/a，包装规格为160kg/桶，则甲醇废包装桶产生量约为50个，每个包装桶重20kg，则废甲醇桶产生量为1t/a。</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根据《固体废物鉴别标准通则》(GB34330-2017)规定，任何不需要修复和加工即可用于其原始用途的物质，或者在产生点经过修复和加工后满足国家、地方制定或行业通行的产品质量标准并且用于其原始用途的物质，可不作为固体废物管理。根据环保部《关于用于原始用途的含有或直接沾染危险废物的包装物、容器是否属于危险废物问题的复函》(环函[2014]126号)，含有或直接沾染危险废物的包装物、容器可以重新于原始用途。</w:t>
            </w:r>
          </w:p>
          <w:p>
            <w:pPr>
              <w:numPr>
                <w:ilvl w:val="0"/>
                <w:numId w:val="0"/>
              </w:numPr>
              <w:adjustRightInd/>
              <w:spacing w:line="360" w:lineRule="auto"/>
              <w:ind w:firstLine="480" w:firstLineChars="200"/>
              <w:jc w:val="both"/>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本项目淬火油</w:t>
            </w:r>
            <w:r>
              <w:rPr>
                <w:rFonts w:hint="eastAsia" w:eastAsia="仿宋" w:cs="Times New Roman"/>
                <w:kern w:val="0"/>
                <w:sz w:val="24"/>
                <w:szCs w:val="24"/>
                <w:lang w:val="en-US" w:eastAsia="zh-CN"/>
              </w:rPr>
              <w:t>桶、甲醇桶</w:t>
            </w:r>
            <w:r>
              <w:rPr>
                <w:rFonts w:hint="eastAsia" w:ascii="Times New Roman" w:hAnsi="Times New Roman" w:eastAsia="仿宋" w:cs="Times New Roman"/>
                <w:kern w:val="0"/>
                <w:sz w:val="24"/>
                <w:szCs w:val="24"/>
                <w:lang w:val="en-US" w:eastAsia="zh-CN"/>
              </w:rPr>
              <w:t>使用完毕后交由原生产厂家</w:t>
            </w:r>
            <w:r>
              <w:rPr>
                <w:rFonts w:hint="eastAsia" w:eastAsia="仿宋" w:cs="Times New Roman"/>
                <w:kern w:val="0"/>
                <w:sz w:val="24"/>
                <w:szCs w:val="24"/>
                <w:lang w:val="en-US" w:eastAsia="zh-CN"/>
              </w:rPr>
              <w:t>重新灌装利用</w:t>
            </w:r>
            <w:r>
              <w:rPr>
                <w:rFonts w:hint="eastAsia" w:ascii="Times New Roman" w:hAnsi="Times New Roman" w:eastAsia="仿宋" w:cs="Times New Roman"/>
                <w:kern w:val="0"/>
                <w:sz w:val="24"/>
                <w:szCs w:val="24"/>
                <w:lang w:val="en-US" w:eastAsia="zh-CN"/>
              </w:rPr>
              <w:t>，但是在使用、运输过程种可能产生损坏不可利用的包装桶，约占总量的10%，故废</w:t>
            </w:r>
            <w:r>
              <w:rPr>
                <w:rFonts w:hint="eastAsia" w:eastAsia="仿宋" w:cs="Times New Roman"/>
                <w:kern w:val="0"/>
                <w:sz w:val="24"/>
                <w:szCs w:val="24"/>
                <w:lang w:val="en-US" w:eastAsia="zh-CN"/>
              </w:rPr>
              <w:t>油</w:t>
            </w:r>
            <w:r>
              <w:rPr>
                <w:rFonts w:hint="eastAsia" w:ascii="Times New Roman" w:hAnsi="Times New Roman" w:eastAsia="仿宋" w:cs="Times New Roman"/>
                <w:kern w:val="0"/>
                <w:sz w:val="24"/>
                <w:szCs w:val="24"/>
                <w:lang w:val="en-US" w:eastAsia="zh-CN"/>
              </w:rPr>
              <w:t>桶产生量为0.</w:t>
            </w:r>
            <w:r>
              <w:rPr>
                <w:rFonts w:hint="eastAsia" w:eastAsia="仿宋" w:cs="Times New Roman"/>
                <w:kern w:val="0"/>
                <w:sz w:val="24"/>
                <w:szCs w:val="24"/>
                <w:lang w:val="en-US" w:eastAsia="zh-CN"/>
              </w:rPr>
              <w:t>04</w:t>
            </w:r>
            <w:r>
              <w:rPr>
                <w:rFonts w:hint="eastAsia" w:ascii="Times New Roman" w:hAnsi="Times New Roman" w:eastAsia="仿宋" w:cs="Times New Roman"/>
                <w:kern w:val="0"/>
                <w:sz w:val="24"/>
                <w:szCs w:val="24"/>
                <w:lang w:val="en-US" w:eastAsia="zh-CN"/>
              </w:rPr>
              <w:t>t/a；废甲醇桶年产生量为0.1t/a。</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（5）</w:t>
            </w:r>
            <w:r>
              <w:rPr>
                <w:rFonts w:hint="eastAsia" w:eastAsia="仿宋" w:cs="Times New Roman"/>
                <w:kern w:val="0"/>
                <w:sz w:val="24"/>
                <w:szCs w:val="24"/>
                <w:lang w:val="en-US" w:eastAsia="zh-CN"/>
              </w:rPr>
              <w:t>废油渣</w:t>
            </w:r>
            <w:r>
              <w:rPr>
                <w:rFonts w:hint="eastAsia" w:ascii="Times New Roman" w:hAnsi="Times New Roman" w:eastAsia="仿宋" w:cs="Times New Roman"/>
                <w:kern w:val="0"/>
                <w:sz w:val="24"/>
                <w:szCs w:val="24"/>
                <w:lang w:val="en-US" w:eastAsia="zh-CN"/>
              </w:rPr>
              <w:t>：本项目淬火油冷却油池每三年定期清理一次，清理产生</w:t>
            </w:r>
            <w:r>
              <w:rPr>
                <w:rFonts w:hint="eastAsia" w:eastAsia="仿宋" w:cs="Times New Roman"/>
                <w:kern w:val="0"/>
                <w:sz w:val="24"/>
                <w:szCs w:val="24"/>
                <w:lang w:val="en-US" w:eastAsia="zh-CN"/>
              </w:rPr>
              <w:t>废油渣</w:t>
            </w:r>
            <w:r>
              <w:rPr>
                <w:rFonts w:hint="eastAsia" w:ascii="Times New Roman" w:hAnsi="Times New Roman" w:eastAsia="仿宋" w:cs="Times New Roman"/>
                <w:kern w:val="0"/>
                <w:sz w:val="24"/>
                <w:szCs w:val="24"/>
                <w:lang w:val="en-US" w:eastAsia="zh-CN"/>
              </w:rPr>
              <w:t>0.9t/3a</w:t>
            </w:r>
            <w:r>
              <w:rPr>
                <w:rFonts w:hint="eastAsia" w:eastAsia="仿宋" w:cs="Times New Roman"/>
                <w:kern w:val="0"/>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（6）废抹布、手套：本项目生产过程中会有</w:t>
            </w:r>
            <w:r>
              <w:rPr>
                <w:rFonts w:hint="eastAsia" w:eastAsia="仿宋" w:cs="Times New Roman"/>
                <w:kern w:val="0"/>
                <w:sz w:val="24"/>
                <w:szCs w:val="24"/>
                <w:lang w:val="en-US" w:eastAsia="zh-CN"/>
              </w:rPr>
              <w:t>沾染有机物</w:t>
            </w:r>
            <w:r>
              <w:rPr>
                <w:rFonts w:hint="eastAsia" w:ascii="Times New Roman" w:hAnsi="Times New Roman" w:eastAsia="仿宋" w:cs="Times New Roman"/>
                <w:kern w:val="0"/>
                <w:sz w:val="24"/>
                <w:szCs w:val="24"/>
                <w:lang w:val="en-US" w:eastAsia="zh-CN"/>
              </w:rPr>
              <w:t>的废抹布手套产生，产生量约为0.02t/a。</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（二）属性判定</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根据《固体废物鉴别标准 通则》（GB34330-2017）判断每种副产物是否属于固体废物，判定依据及结果见下表。</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表</w:t>
            </w:r>
            <w:r>
              <w:rPr>
                <w:rFonts w:hint="eastAsia" w:eastAsia="仿宋" w:cs="Times New Roman"/>
                <w:b/>
                <w:bCs/>
                <w:kern w:val="0"/>
                <w:sz w:val="24"/>
                <w:szCs w:val="24"/>
                <w:lang w:val="en-US" w:eastAsia="zh-CN"/>
              </w:rPr>
              <w:t>4-29</w:t>
            </w:r>
            <w:r>
              <w:rPr>
                <w:rFonts w:hint="eastAsia" w:ascii="Times New Roman" w:hAnsi="Times New Roman" w:eastAsia="仿宋" w:cs="Times New Roman"/>
                <w:b/>
                <w:bCs/>
                <w:kern w:val="0"/>
                <w:sz w:val="24"/>
                <w:szCs w:val="24"/>
                <w:lang w:val="en-US" w:eastAsia="zh-CN"/>
              </w:rPr>
              <w:t xml:space="preserve"> </w:t>
            </w:r>
            <w:r>
              <w:rPr>
                <w:rFonts w:hint="eastAsia" w:eastAsia="仿宋" w:cs="Times New Roman"/>
                <w:b/>
                <w:bCs/>
                <w:kern w:val="0"/>
                <w:sz w:val="24"/>
                <w:szCs w:val="24"/>
                <w:lang w:val="en-US" w:eastAsia="zh-CN"/>
              </w:rPr>
              <w:t>本项目</w:t>
            </w:r>
            <w:r>
              <w:rPr>
                <w:rFonts w:hint="eastAsia" w:ascii="Times New Roman" w:hAnsi="Times New Roman" w:eastAsia="仿宋" w:cs="Times New Roman"/>
                <w:b/>
                <w:bCs/>
                <w:kern w:val="0"/>
                <w:sz w:val="24"/>
                <w:szCs w:val="24"/>
                <w:lang w:val="en-US" w:eastAsia="zh-CN"/>
              </w:rPr>
              <w:t>固废属性判定表</w:t>
            </w:r>
          </w:p>
          <w:tbl>
            <w:tblPr>
              <w:tblStyle w:val="17"/>
              <w:tblW w:w="8457"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1033"/>
              <w:gridCol w:w="1024"/>
              <w:gridCol w:w="427"/>
              <w:gridCol w:w="1135"/>
              <w:gridCol w:w="872"/>
              <w:gridCol w:w="861"/>
              <w:gridCol w:w="714"/>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vMerge w:val="restar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657" w:type="pct"/>
                  <w:vMerge w:val="restar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名称</w:t>
                  </w:r>
                </w:p>
              </w:tc>
              <w:tc>
                <w:tcPr>
                  <w:tcW w:w="652" w:type="pct"/>
                  <w:vMerge w:val="restar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来源</w:t>
                  </w:r>
                </w:p>
              </w:tc>
              <w:tc>
                <w:tcPr>
                  <w:tcW w:w="282" w:type="pct"/>
                  <w:vMerge w:val="restar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形态</w:t>
                  </w:r>
                </w:p>
              </w:tc>
              <w:tc>
                <w:tcPr>
                  <w:tcW w:w="734" w:type="pct"/>
                  <w:vMerge w:val="restar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主要成分</w:t>
                  </w:r>
                </w:p>
              </w:tc>
              <w:tc>
                <w:tcPr>
                  <w:tcW w:w="540" w:type="pct"/>
                  <w:vMerge w:val="restar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产生量（t/a）</w:t>
                  </w:r>
                </w:p>
              </w:tc>
              <w:tc>
                <w:tcPr>
                  <w:tcW w:w="1821" w:type="pct"/>
                  <w:gridSpan w:val="3"/>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判别种类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p>
              </w:tc>
              <w:tc>
                <w:tcPr>
                  <w:tcW w:w="657"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p>
              </w:tc>
              <w:tc>
                <w:tcPr>
                  <w:tcW w:w="652"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p>
              </w:tc>
              <w:tc>
                <w:tcPr>
                  <w:tcW w:w="282"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p>
              </w:tc>
              <w:tc>
                <w:tcPr>
                  <w:tcW w:w="734"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p>
              </w:tc>
              <w:tc>
                <w:tcPr>
                  <w:tcW w:w="540"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p>
              </w:tc>
              <w:tc>
                <w:tcPr>
                  <w:tcW w:w="576"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bCs/>
                      <w:color w:val="auto"/>
                      <w:sz w:val="21"/>
                      <w:szCs w:val="21"/>
                      <w:highlight w:val="none"/>
                    </w:rPr>
                    <w:t>固体废物</w:t>
                  </w:r>
                </w:p>
              </w:tc>
              <w:tc>
                <w:tcPr>
                  <w:tcW w:w="468"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bCs/>
                      <w:color w:val="auto"/>
                      <w:sz w:val="21"/>
                      <w:szCs w:val="21"/>
                      <w:highlight w:val="none"/>
                    </w:rPr>
                    <w:t>副产品</w:t>
                  </w:r>
                </w:p>
              </w:tc>
              <w:tc>
                <w:tcPr>
                  <w:tcW w:w="776"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bCs/>
                      <w:color w:val="auto"/>
                      <w:sz w:val="21"/>
                      <w:szCs w:val="21"/>
                      <w:highlight w:val="none"/>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57"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生活垃圾</w:t>
                  </w:r>
                </w:p>
              </w:tc>
              <w:tc>
                <w:tcPr>
                  <w:tcW w:w="652"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生活</w:t>
                  </w:r>
                </w:p>
              </w:tc>
              <w:tc>
                <w:tcPr>
                  <w:tcW w:w="282"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固</w:t>
                  </w:r>
                </w:p>
              </w:tc>
              <w:tc>
                <w:tcPr>
                  <w:tcW w:w="734"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生活垃圾</w:t>
                  </w:r>
                </w:p>
              </w:tc>
              <w:tc>
                <w:tcPr>
                  <w:tcW w:w="540"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576"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w:t>
                  </w:r>
                </w:p>
              </w:tc>
              <w:tc>
                <w:tcPr>
                  <w:tcW w:w="468"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w:t>
                  </w:r>
                </w:p>
              </w:tc>
              <w:tc>
                <w:tcPr>
                  <w:tcW w:w="776" w:type="pct"/>
                  <w:vMerge w:val="restar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color w:val="auto"/>
                      <w:sz w:val="21"/>
                      <w:szCs w:val="21"/>
                      <w:highlight w:val="none"/>
                    </w:rPr>
                    <w:t>《固体废物鉴别标准通则》（GB34330</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p>
              </w:tc>
              <w:tc>
                <w:tcPr>
                  <w:tcW w:w="657"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废UV灯管</w:t>
                  </w:r>
                </w:p>
              </w:tc>
              <w:tc>
                <w:tcPr>
                  <w:tcW w:w="652" w:type="pct"/>
                  <w:vMerge w:val="restar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废气处理</w:t>
                  </w:r>
                </w:p>
              </w:tc>
              <w:tc>
                <w:tcPr>
                  <w:tcW w:w="282"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固</w:t>
                  </w:r>
                </w:p>
              </w:tc>
              <w:tc>
                <w:tcPr>
                  <w:tcW w:w="734"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UV灯管</w:t>
                  </w:r>
                </w:p>
              </w:tc>
              <w:tc>
                <w:tcPr>
                  <w:tcW w:w="540"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0.005</w:t>
                  </w:r>
                </w:p>
              </w:tc>
              <w:tc>
                <w:tcPr>
                  <w:tcW w:w="576"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w:t>
                  </w:r>
                </w:p>
              </w:tc>
              <w:tc>
                <w:tcPr>
                  <w:tcW w:w="468"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776"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657"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废活性炭</w:t>
                  </w:r>
                </w:p>
              </w:tc>
              <w:tc>
                <w:tcPr>
                  <w:tcW w:w="652"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lang w:val="en-US" w:eastAsia="zh-CN"/>
                    </w:rPr>
                  </w:pPr>
                </w:p>
              </w:tc>
              <w:tc>
                <w:tcPr>
                  <w:tcW w:w="282"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w:t>
                  </w:r>
                </w:p>
              </w:tc>
              <w:tc>
                <w:tcPr>
                  <w:tcW w:w="734"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活性炭、有机物</w:t>
                  </w:r>
                </w:p>
              </w:tc>
              <w:tc>
                <w:tcPr>
                  <w:tcW w:w="540"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4.648</w:t>
                  </w:r>
                </w:p>
              </w:tc>
              <w:tc>
                <w:tcPr>
                  <w:tcW w:w="576"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w:t>
                  </w:r>
                </w:p>
              </w:tc>
              <w:tc>
                <w:tcPr>
                  <w:tcW w:w="468"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776"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p>
              </w:tc>
              <w:tc>
                <w:tcPr>
                  <w:tcW w:w="657"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废油桶</w:t>
                  </w:r>
                </w:p>
              </w:tc>
              <w:tc>
                <w:tcPr>
                  <w:tcW w:w="652" w:type="pct"/>
                  <w:vMerge w:val="restar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生产</w:t>
                  </w:r>
                </w:p>
              </w:tc>
              <w:tc>
                <w:tcPr>
                  <w:tcW w:w="282"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w:t>
                  </w:r>
                </w:p>
              </w:tc>
              <w:tc>
                <w:tcPr>
                  <w:tcW w:w="734"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金属、油</w:t>
                  </w:r>
                </w:p>
              </w:tc>
              <w:tc>
                <w:tcPr>
                  <w:tcW w:w="540"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0.04</w:t>
                  </w:r>
                </w:p>
              </w:tc>
              <w:tc>
                <w:tcPr>
                  <w:tcW w:w="576"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w:t>
                  </w:r>
                </w:p>
              </w:tc>
              <w:tc>
                <w:tcPr>
                  <w:tcW w:w="468"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776"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c>
                <w:tcPr>
                  <w:tcW w:w="657"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废甲醇桶</w:t>
                  </w:r>
                </w:p>
              </w:tc>
              <w:tc>
                <w:tcPr>
                  <w:tcW w:w="652"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lang w:val="en-US" w:eastAsia="zh-CN"/>
                    </w:rPr>
                  </w:pPr>
                </w:p>
              </w:tc>
              <w:tc>
                <w:tcPr>
                  <w:tcW w:w="282"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w:t>
                  </w:r>
                </w:p>
              </w:tc>
              <w:tc>
                <w:tcPr>
                  <w:tcW w:w="734"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金属、甲醇</w:t>
                  </w:r>
                </w:p>
              </w:tc>
              <w:tc>
                <w:tcPr>
                  <w:tcW w:w="540"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576"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w:t>
                  </w:r>
                </w:p>
              </w:tc>
              <w:tc>
                <w:tcPr>
                  <w:tcW w:w="468"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776"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w:t>
                  </w:r>
                </w:p>
              </w:tc>
              <w:tc>
                <w:tcPr>
                  <w:tcW w:w="657"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废油渣</w:t>
                  </w:r>
                </w:p>
              </w:tc>
              <w:tc>
                <w:tcPr>
                  <w:tcW w:w="652"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生产</w:t>
                  </w:r>
                </w:p>
              </w:tc>
              <w:tc>
                <w:tcPr>
                  <w:tcW w:w="282"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液</w:t>
                  </w:r>
                </w:p>
              </w:tc>
              <w:tc>
                <w:tcPr>
                  <w:tcW w:w="734"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淬火油</w:t>
                  </w:r>
                </w:p>
              </w:tc>
              <w:tc>
                <w:tcPr>
                  <w:tcW w:w="540"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0.9t/3a</w:t>
                  </w:r>
                </w:p>
              </w:tc>
              <w:tc>
                <w:tcPr>
                  <w:tcW w:w="576"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w:t>
                  </w:r>
                </w:p>
              </w:tc>
              <w:tc>
                <w:tcPr>
                  <w:tcW w:w="468"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776"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7</w:t>
                  </w:r>
                </w:p>
              </w:tc>
              <w:tc>
                <w:tcPr>
                  <w:tcW w:w="657"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废抹布、手套</w:t>
                  </w:r>
                </w:p>
              </w:tc>
              <w:tc>
                <w:tcPr>
                  <w:tcW w:w="652"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生产</w:t>
                  </w:r>
                </w:p>
              </w:tc>
              <w:tc>
                <w:tcPr>
                  <w:tcW w:w="282"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固</w:t>
                  </w:r>
                </w:p>
              </w:tc>
              <w:tc>
                <w:tcPr>
                  <w:tcW w:w="734"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手套、</w:t>
                  </w:r>
                  <w:r>
                    <w:rPr>
                      <w:rFonts w:hint="eastAsia" w:eastAsia="仿宋" w:cs="Times New Roman"/>
                      <w:color w:val="auto"/>
                      <w:sz w:val="21"/>
                      <w:szCs w:val="21"/>
                      <w:highlight w:val="none"/>
                      <w:lang w:val="en-US" w:eastAsia="zh-CN"/>
                    </w:rPr>
                    <w:t>甲醇等</w:t>
                  </w:r>
                </w:p>
              </w:tc>
              <w:tc>
                <w:tcPr>
                  <w:tcW w:w="540"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576"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w:t>
                  </w:r>
                </w:p>
              </w:tc>
              <w:tc>
                <w:tcPr>
                  <w:tcW w:w="468"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776" w:type="pct"/>
                  <w:vMerge w:val="continue"/>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sz w:val="21"/>
                      <w:szCs w:val="21"/>
                      <w:highlight w:val="none"/>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表</w:t>
            </w:r>
            <w:r>
              <w:rPr>
                <w:rFonts w:hint="eastAsia" w:eastAsia="仿宋" w:cs="Times New Roman"/>
                <w:b/>
                <w:bCs/>
                <w:kern w:val="0"/>
                <w:sz w:val="24"/>
                <w:szCs w:val="24"/>
                <w:lang w:val="en-US" w:eastAsia="zh-CN"/>
              </w:rPr>
              <w:t>4-30</w:t>
            </w:r>
            <w:r>
              <w:rPr>
                <w:rFonts w:hint="eastAsia" w:ascii="Times New Roman" w:hAnsi="Times New Roman" w:eastAsia="仿宋" w:cs="Times New Roman"/>
                <w:b/>
                <w:bCs/>
                <w:kern w:val="0"/>
                <w:sz w:val="24"/>
                <w:szCs w:val="24"/>
                <w:lang w:val="en-US" w:eastAsia="zh-CN"/>
              </w:rPr>
              <w:t xml:space="preserve"> </w:t>
            </w:r>
            <w:r>
              <w:rPr>
                <w:rFonts w:hint="eastAsia" w:eastAsia="仿宋" w:cs="Times New Roman"/>
                <w:b/>
                <w:bCs/>
                <w:kern w:val="0"/>
                <w:sz w:val="24"/>
                <w:szCs w:val="24"/>
                <w:lang w:val="en-US" w:eastAsia="zh-CN"/>
              </w:rPr>
              <w:t>本项目</w:t>
            </w:r>
            <w:r>
              <w:rPr>
                <w:rFonts w:hint="eastAsia" w:ascii="Times New Roman" w:hAnsi="Times New Roman" w:eastAsia="仿宋" w:cs="Times New Roman"/>
                <w:b/>
                <w:bCs/>
                <w:kern w:val="0"/>
                <w:sz w:val="24"/>
                <w:szCs w:val="24"/>
                <w:lang w:val="en-US" w:eastAsia="zh-CN"/>
              </w:rPr>
              <w:t>营运期固体废物分析结果汇总表</w:t>
            </w:r>
          </w:p>
          <w:tbl>
            <w:tblPr>
              <w:tblStyle w:val="18"/>
              <w:tblW w:w="82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690"/>
              <w:gridCol w:w="716"/>
              <w:gridCol w:w="669"/>
              <w:gridCol w:w="505"/>
              <w:gridCol w:w="830"/>
              <w:gridCol w:w="1056"/>
              <w:gridCol w:w="555"/>
              <w:gridCol w:w="776"/>
              <w:gridCol w:w="1196"/>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dxa"/>
                  <w:tcBorders>
                    <w:tl2br w:val="nil"/>
                    <w:tr2bl w:val="nil"/>
                  </w:tcBorders>
                  <w:vAlign w:val="center"/>
                </w:tcPr>
                <w:p>
                  <w:pPr>
                    <w:pStyle w:val="40"/>
                    <w:snapToGrid w:val="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703" w:type="dxa"/>
                  <w:tcBorders>
                    <w:tl2br w:val="nil"/>
                    <w:tr2bl w:val="nil"/>
                  </w:tcBorders>
                  <w:vAlign w:val="center"/>
                </w:tcPr>
                <w:p>
                  <w:pPr>
                    <w:pStyle w:val="40"/>
                    <w:snapToGrid w:val="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名称</w:t>
                  </w:r>
                </w:p>
              </w:tc>
              <w:tc>
                <w:tcPr>
                  <w:tcW w:w="786" w:type="dxa"/>
                  <w:tcBorders>
                    <w:tl2br w:val="nil"/>
                    <w:tr2bl w:val="nil"/>
                  </w:tcBorders>
                  <w:vAlign w:val="center"/>
                </w:tcPr>
                <w:p>
                  <w:pPr>
                    <w:pStyle w:val="40"/>
                    <w:snapToGrid w:val="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来源</w:t>
                  </w:r>
                </w:p>
              </w:tc>
              <w:tc>
                <w:tcPr>
                  <w:tcW w:w="727" w:type="dxa"/>
                  <w:tcBorders>
                    <w:tl2br w:val="nil"/>
                    <w:tr2bl w:val="nil"/>
                  </w:tcBorders>
                  <w:vAlign w:val="center"/>
                </w:tcPr>
                <w:p>
                  <w:pPr>
                    <w:pStyle w:val="40"/>
                    <w:snapToGrid w:val="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属性</w:t>
                  </w:r>
                </w:p>
              </w:tc>
              <w:tc>
                <w:tcPr>
                  <w:tcW w:w="524" w:type="dxa"/>
                  <w:tcBorders>
                    <w:tl2br w:val="nil"/>
                    <w:tr2bl w:val="nil"/>
                  </w:tcBorders>
                  <w:vAlign w:val="center"/>
                </w:tcPr>
                <w:p>
                  <w:pPr>
                    <w:pStyle w:val="40"/>
                    <w:snapToGrid w:val="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形态</w:t>
                  </w:r>
                </w:p>
              </w:tc>
              <w:tc>
                <w:tcPr>
                  <w:tcW w:w="877" w:type="dxa"/>
                  <w:tcBorders>
                    <w:tl2br w:val="nil"/>
                    <w:tr2bl w:val="nil"/>
                  </w:tcBorders>
                  <w:vAlign w:val="center"/>
                </w:tcPr>
                <w:p>
                  <w:pPr>
                    <w:pStyle w:val="40"/>
                    <w:snapToGrid w:val="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主要成分</w:t>
                  </w:r>
                </w:p>
              </w:tc>
              <w:tc>
                <w:tcPr>
                  <w:tcW w:w="849" w:type="dxa"/>
                  <w:tcBorders>
                    <w:tl2br w:val="nil"/>
                    <w:tr2bl w:val="nil"/>
                  </w:tcBorders>
                  <w:vAlign w:val="center"/>
                </w:tcPr>
                <w:p>
                  <w:pPr>
                    <w:pStyle w:val="40"/>
                    <w:snapToGrid w:val="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鉴别方法</w:t>
                  </w:r>
                </w:p>
              </w:tc>
              <w:tc>
                <w:tcPr>
                  <w:tcW w:w="555" w:type="dxa"/>
                  <w:tcBorders>
                    <w:tl2br w:val="nil"/>
                    <w:tr2bl w:val="nil"/>
                  </w:tcBorders>
                  <w:vAlign w:val="center"/>
                </w:tcPr>
                <w:p>
                  <w:pPr>
                    <w:pStyle w:val="40"/>
                    <w:snapToGrid w:val="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危险特性</w:t>
                  </w:r>
                </w:p>
              </w:tc>
              <w:tc>
                <w:tcPr>
                  <w:tcW w:w="776" w:type="dxa"/>
                  <w:tcBorders>
                    <w:tl2br w:val="nil"/>
                    <w:tr2bl w:val="nil"/>
                  </w:tcBorders>
                  <w:vAlign w:val="center"/>
                </w:tcPr>
                <w:p>
                  <w:pPr>
                    <w:pStyle w:val="40"/>
                    <w:snapToGrid w:val="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废物类别</w:t>
                  </w:r>
                </w:p>
              </w:tc>
              <w:tc>
                <w:tcPr>
                  <w:tcW w:w="1196" w:type="dxa"/>
                  <w:tcBorders>
                    <w:tl2br w:val="nil"/>
                    <w:tr2bl w:val="nil"/>
                  </w:tcBorders>
                  <w:vAlign w:val="center"/>
                </w:tcPr>
                <w:p>
                  <w:pPr>
                    <w:pStyle w:val="40"/>
                    <w:snapToGrid w:val="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废物代码</w:t>
                  </w:r>
                </w:p>
              </w:tc>
              <w:tc>
                <w:tcPr>
                  <w:tcW w:w="871" w:type="dxa"/>
                  <w:tcBorders>
                    <w:tl2br w:val="nil"/>
                    <w:tr2bl w:val="nil"/>
                  </w:tcBorders>
                  <w:vAlign w:val="center"/>
                </w:tcPr>
                <w:p>
                  <w:pPr>
                    <w:pStyle w:val="40"/>
                    <w:snapToGrid w:val="0"/>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703"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生活垃圾</w:t>
                  </w:r>
                </w:p>
              </w:tc>
              <w:tc>
                <w:tcPr>
                  <w:tcW w:w="786" w:type="dxa"/>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职工生活</w:t>
                  </w:r>
                </w:p>
              </w:tc>
              <w:tc>
                <w:tcPr>
                  <w:tcW w:w="727" w:type="dxa"/>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生活垃圾</w:t>
                  </w:r>
                </w:p>
              </w:tc>
              <w:tc>
                <w:tcPr>
                  <w:tcW w:w="52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固</w:t>
                  </w:r>
                </w:p>
              </w:tc>
              <w:tc>
                <w:tcPr>
                  <w:tcW w:w="877"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生活垃圾</w:t>
                  </w:r>
                </w:p>
              </w:tc>
              <w:tc>
                <w:tcPr>
                  <w:tcW w:w="849" w:type="dxa"/>
                  <w:vMerge w:val="restart"/>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对照《国家危险废物名录》（</w:t>
                  </w:r>
                  <w:r>
                    <w:rPr>
                      <w:rFonts w:hint="default" w:ascii="Times New Roman" w:hAnsi="Times New Roman" w:eastAsia="仿宋" w:cs="Times New Roman"/>
                      <w:color w:val="auto"/>
                      <w:sz w:val="21"/>
                      <w:szCs w:val="21"/>
                      <w:highlight w:val="none"/>
                      <w:lang w:val="en-US" w:eastAsia="zh-CN"/>
                    </w:rPr>
                    <w:t>2021</w:t>
                  </w:r>
                  <w:r>
                    <w:rPr>
                      <w:rFonts w:hint="default" w:ascii="Times New Roman" w:hAnsi="Times New Roman" w:eastAsia="仿宋" w:cs="Times New Roman"/>
                      <w:color w:val="auto"/>
                      <w:sz w:val="21"/>
                      <w:szCs w:val="21"/>
                      <w:highlight w:val="none"/>
                    </w:rPr>
                    <w:t>）</w:t>
                  </w:r>
                </w:p>
              </w:tc>
              <w:tc>
                <w:tcPr>
                  <w:tcW w:w="555" w:type="dxa"/>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776"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w:t>
                  </w:r>
                </w:p>
              </w:tc>
              <w:tc>
                <w:tcPr>
                  <w:tcW w:w="1196"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w:t>
                  </w:r>
                </w:p>
              </w:tc>
              <w:tc>
                <w:tcPr>
                  <w:tcW w:w="871"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w:t>
                  </w:r>
                </w:p>
              </w:tc>
              <w:tc>
                <w:tcPr>
                  <w:tcW w:w="703"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废UV灯管</w:t>
                  </w:r>
                </w:p>
              </w:tc>
              <w:tc>
                <w:tcPr>
                  <w:tcW w:w="786" w:type="dxa"/>
                  <w:vMerge w:val="restart"/>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废气处理</w:t>
                  </w:r>
                </w:p>
              </w:tc>
              <w:tc>
                <w:tcPr>
                  <w:tcW w:w="727" w:type="dxa"/>
                  <w:vMerge w:val="restart"/>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危险固废</w:t>
                  </w:r>
                </w:p>
              </w:tc>
              <w:tc>
                <w:tcPr>
                  <w:tcW w:w="52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固</w:t>
                  </w:r>
                </w:p>
              </w:tc>
              <w:tc>
                <w:tcPr>
                  <w:tcW w:w="877"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UV灯管</w:t>
                  </w:r>
                </w:p>
              </w:tc>
              <w:tc>
                <w:tcPr>
                  <w:tcW w:w="849" w:type="dxa"/>
                  <w:vMerge w:val="continue"/>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rPr>
                  </w:pP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color w:val="auto"/>
                      <w:kern w:val="0"/>
                      <w:sz w:val="21"/>
                      <w:szCs w:val="21"/>
                      <w:highlight w:val="none"/>
                    </w:rPr>
                    <w:t>HW29</w:t>
                  </w:r>
                </w:p>
              </w:tc>
              <w:tc>
                <w:tcPr>
                  <w:tcW w:w="11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color w:val="auto"/>
                      <w:kern w:val="0"/>
                      <w:sz w:val="21"/>
                      <w:szCs w:val="21"/>
                      <w:highlight w:val="none"/>
                    </w:rPr>
                    <w:t>900-023-29</w:t>
                  </w:r>
                </w:p>
              </w:tc>
              <w:tc>
                <w:tcPr>
                  <w:tcW w:w="871"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0.0</w:t>
                  </w:r>
                  <w:r>
                    <w:rPr>
                      <w:rFonts w:hint="eastAsia" w:eastAsia="仿宋"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703"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废活性炭</w:t>
                  </w:r>
                </w:p>
              </w:tc>
              <w:tc>
                <w:tcPr>
                  <w:tcW w:w="786" w:type="dxa"/>
                  <w:vMerge w:val="continue"/>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lang w:val="en-US" w:eastAsia="zh-CN"/>
                    </w:rPr>
                  </w:pPr>
                </w:p>
              </w:tc>
              <w:tc>
                <w:tcPr>
                  <w:tcW w:w="727" w:type="dxa"/>
                  <w:vMerge w:val="continue"/>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lang w:val="en-US" w:eastAsia="zh-CN"/>
                    </w:rPr>
                  </w:pPr>
                </w:p>
              </w:tc>
              <w:tc>
                <w:tcPr>
                  <w:tcW w:w="52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固</w:t>
                  </w:r>
                </w:p>
              </w:tc>
              <w:tc>
                <w:tcPr>
                  <w:tcW w:w="877"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活性炭、有机物</w:t>
                  </w:r>
                </w:p>
              </w:tc>
              <w:tc>
                <w:tcPr>
                  <w:tcW w:w="849" w:type="dxa"/>
                  <w:vMerge w:val="continue"/>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rPr>
                  </w:pP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HW49</w:t>
                  </w:r>
                </w:p>
              </w:tc>
              <w:tc>
                <w:tcPr>
                  <w:tcW w:w="11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900-0</w:t>
                  </w:r>
                  <w:r>
                    <w:rPr>
                      <w:rFonts w:hint="eastAsia" w:eastAsia="宋体" w:cs="Times New Roman"/>
                      <w:color w:val="auto"/>
                      <w:kern w:val="0"/>
                      <w:sz w:val="21"/>
                      <w:szCs w:val="21"/>
                      <w:highlight w:val="none"/>
                      <w:lang w:val="en-US" w:eastAsia="zh-CN"/>
                    </w:rPr>
                    <w:t>39</w:t>
                  </w:r>
                  <w:r>
                    <w:rPr>
                      <w:rFonts w:hint="default" w:ascii="Times New Roman" w:hAnsi="Times New Roman" w:eastAsia="宋体" w:cs="Times New Roman"/>
                      <w:color w:val="auto"/>
                      <w:kern w:val="0"/>
                      <w:sz w:val="21"/>
                      <w:szCs w:val="21"/>
                      <w:highlight w:val="none"/>
                    </w:rPr>
                    <w:t>-49</w:t>
                  </w:r>
                </w:p>
              </w:tc>
              <w:tc>
                <w:tcPr>
                  <w:tcW w:w="871"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6</w:t>
                  </w:r>
                </w:p>
              </w:tc>
              <w:tc>
                <w:tcPr>
                  <w:tcW w:w="703"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废油桶</w:t>
                  </w:r>
                </w:p>
              </w:tc>
              <w:tc>
                <w:tcPr>
                  <w:tcW w:w="786" w:type="dxa"/>
                  <w:vMerge w:val="restart"/>
                  <w:tcBorders>
                    <w:tl2br w:val="nil"/>
                    <w:tr2bl w:val="nil"/>
                  </w:tcBorders>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包装</w:t>
                  </w:r>
                </w:p>
              </w:tc>
              <w:tc>
                <w:tcPr>
                  <w:tcW w:w="727" w:type="dxa"/>
                  <w:vMerge w:val="continue"/>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lang w:val="en-US" w:eastAsia="zh-CN"/>
                    </w:rPr>
                  </w:pPr>
                </w:p>
              </w:tc>
              <w:tc>
                <w:tcPr>
                  <w:tcW w:w="52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w:t>
                  </w:r>
                </w:p>
              </w:tc>
              <w:tc>
                <w:tcPr>
                  <w:tcW w:w="877"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金属、油</w:t>
                  </w:r>
                </w:p>
              </w:tc>
              <w:tc>
                <w:tcPr>
                  <w:tcW w:w="849" w:type="dxa"/>
                  <w:vMerge w:val="continue"/>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rPr>
                  </w:pPr>
                </w:p>
              </w:tc>
              <w:tc>
                <w:tcPr>
                  <w:tcW w:w="555"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T</w:t>
                  </w: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sz w:val="21"/>
                      <w:szCs w:val="21"/>
                    </w:rPr>
                    <w:t>HW</w:t>
                  </w:r>
                  <w:r>
                    <w:rPr>
                      <w:rFonts w:hint="eastAsia" w:ascii="Times New Roman" w:hAnsi="Times New Roman" w:eastAsia="仿宋" w:cs="Times New Roman"/>
                      <w:sz w:val="21"/>
                      <w:szCs w:val="21"/>
                      <w:lang w:val="en-US" w:eastAsia="zh-CN"/>
                    </w:rPr>
                    <w:t>08</w:t>
                  </w:r>
                </w:p>
              </w:tc>
              <w:tc>
                <w:tcPr>
                  <w:tcW w:w="11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sz w:val="21"/>
                      <w:szCs w:val="21"/>
                    </w:rPr>
                    <w:t>900-</w:t>
                  </w:r>
                  <w:r>
                    <w:rPr>
                      <w:rFonts w:hint="eastAsia" w:ascii="Times New Roman" w:hAnsi="Times New Roman" w:eastAsia="仿宋" w:cs="Times New Roman"/>
                      <w:sz w:val="21"/>
                      <w:szCs w:val="21"/>
                      <w:lang w:val="en-US" w:eastAsia="zh-CN"/>
                    </w:rPr>
                    <w:t>249</w:t>
                  </w:r>
                  <w:r>
                    <w:rPr>
                      <w:rFonts w:hint="default" w:ascii="Times New Roman" w:hAnsi="Times New Roman" w:eastAsia="仿宋" w:cs="Times New Roman"/>
                      <w:sz w:val="21"/>
                      <w:szCs w:val="21"/>
                    </w:rPr>
                    <w:t>-</w:t>
                  </w:r>
                  <w:r>
                    <w:rPr>
                      <w:rFonts w:hint="eastAsia" w:ascii="Times New Roman" w:hAnsi="Times New Roman" w:eastAsia="仿宋" w:cs="Times New Roman"/>
                      <w:sz w:val="21"/>
                      <w:szCs w:val="21"/>
                      <w:lang w:val="en-US" w:eastAsia="zh-CN"/>
                    </w:rPr>
                    <w:t>08</w:t>
                  </w:r>
                </w:p>
              </w:tc>
              <w:tc>
                <w:tcPr>
                  <w:tcW w:w="871"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7</w:t>
                  </w:r>
                </w:p>
              </w:tc>
              <w:tc>
                <w:tcPr>
                  <w:tcW w:w="703"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废甲醇桶</w:t>
                  </w:r>
                </w:p>
              </w:tc>
              <w:tc>
                <w:tcPr>
                  <w:tcW w:w="786" w:type="dxa"/>
                  <w:vMerge w:val="continue"/>
                  <w:tcBorders>
                    <w:tl2br w:val="nil"/>
                    <w:tr2bl w:val="nil"/>
                  </w:tcBorders>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p>
              </w:tc>
              <w:tc>
                <w:tcPr>
                  <w:tcW w:w="727" w:type="dxa"/>
                  <w:vMerge w:val="continue"/>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lang w:val="en-US" w:eastAsia="zh-CN"/>
                    </w:rPr>
                  </w:pPr>
                </w:p>
              </w:tc>
              <w:tc>
                <w:tcPr>
                  <w:tcW w:w="52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w:t>
                  </w:r>
                </w:p>
              </w:tc>
              <w:tc>
                <w:tcPr>
                  <w:tcW w:w="877"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金属、甲醇</w:t>
                  </w:r>
                </w:p>
              </w:tc>
              <w:tc>
                <w:tcPr>
                  <w:tcW w:w="849" w:type="dxa"/>
                  <w:vMerge w:val="continue"/>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rPr>
                  </w:pPr>
                </w:p>
              </w:tc>
              <w:tc>
                <w:tcPr>
                  <w:tcW w:w="555"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w:t>
                  </w: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HW</w:t>
                  </w:r>
                  <w:r>
                    <w:rPr>
                      <w:rFonts w:hint="default" w:ascii="Times New Roman" w:hAnsi="Times New Roman" w:eastAsia="仿宋" w:cs="Times New Roman"/>
                      <w:sz w:val="21"/>
                      <w:szCs w:val="21"/>
                      <w:lang w:val="en-US" w:eastAsia="zh-CN"/>
                    </w:rPr>
                    <w:t>49</w:t>
                  </w:r>
                </w:p>
              </w:tc>
              <w:tc>
                <w:tcPr>
                  <w:tcW w:w="11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900-041-49</w:t>
                  </w:r>
                </w:p>
              </w:tc>
              <w:tc>
                <w:tcPr>
                  <w:tcW w:w="871"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8</w:t>
                  </w:r>
                </w:p>
              </w:tc>
              <w:tc>
                <w:tcPr>
                  <w:tcW w:w="703"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废油渣</w:t>
                  </w:r>
                </w:p>
              </w:tc>
              <w:tc>
                <w:tcPr>
                  <w:tcW w:w="786"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生产</w:t>
                  </w:r>
                </w:p>
              </w:tc>
              <w:tc>
                <w:tcPr>
                  <w:tcW w:w="727" w:type="dxa"/>
                  <w:vMerge w:val="continue"/>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lang w:val="en-US" w:eastAsia="zh-CN"/>
                    </w:rPr>
                  </w:pPr>
                </w:p>
              </w:tc>
              <w:tc>
                <w:tcPr>
                  <w:tcW w:w="52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液</w:t>
                  </w:r>
                </w:p>
              </w:tc>
              <w:tc>
                <w:tcPr>
                  <w:tcW w:w="877"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淬火油</w:t>
                  </w:r>
                </w:p>
              </w:tc>
              <w:tc>
                <w:tcPr>
                  <w:tcW w:w="849" w:type="dxa"/>
                  <w:vMerge w:val="continue"/>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rPr>
                  </w:pPr>
                </w:p>
              </w:tc>
              <w:tc>
                <w:tcPr>
                  <w:tcW w:w="555"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w:t>
                  </w: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21"/>
                      <w:szCs w:val="21"/>
                      <w:lang w:val="en-US"/>
                    </w:rPr>
                  </w:pPr>
                  <w:r>
                    <w:rPr>
                      <w:rFonts w:hint="eastAsia" w:cs="Times New Roman"/>
                      <w:color w:val="auto"/>
                      <w:kern w:val="0"/>
                      <w:sz w:val="21"/>
                      <w:szCs w:val="21"/>
                      <w:highlight w:val="none"/>
                      <w:lang w:val="en-US" w:eastAsia="zh-CN"/>
                    </w:rPr>
                    <w:t>HW08</w:t>
                  </w:r>
                </w:p>
              </w:tc>
              <w:tc>
                <w:tcPr>
                  <w:tcW w:w="11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eastAsia" w:cs="Times New Roman"/>
                      <w:color w:val="auto"/>
                      <w:kern w:val="0"/>
                      <w:sz w:val="21"/>
                      <w:szCs w:val="21"/>
                      <w:highlight w:val="none"/>
                      <w:lang w:val="en-US" w:eastAsia="zh-CN"/>
                    </w:rPr>
                    <w:t>900-203-08</w:t>
                  </w:r>
                </w:p>
              </w:tc>
              <w:tc>
                <w:tcPr>
                  <w:tcW w:w="871"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0.9t/3a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8"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w:t>
                  </w:r>
                </w:p>
              </w:tc>
              <w:tc>
                <w:tcPr>
                  <w:tcW w:w="703"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废抹布、手套</w:t>
                  </w:r>
                </w:p>
              </w:tc>
              <w:tc>
                <w:tcPr>
                  <w:tcW w:w="786" w:type="dxa"/>
                  <w:tcBorders>
                    <w:tl2br w:val="nil"/>
                    <w:tr2bl w:val="nil"/>
                  </w:tcBorders>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生产</w:t>
                  </w:r>
                </w:p>
              </w:tc>
              <w:tc>
                <w:tcPr>
                  <w:tcW w:w="727" w:type="dxa"/>
                  <w:vMerge w:val="continue"/>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lang w:val="en-US" w:eastAsia="zh-CN"/>
                    </w:rPr>
                  </w:pPr>
                </w:p>
              </w:tc>
              <w:tc>
                <w:tcPr>
                  <w:tcW w:w="52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w:t>
                  </w:r>
                </w:p>
              </w:tc>
              <w:tc>
                <w:tcPr>
                  <w:tcW w:w="877"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手套、</w:t>
                  </w:r>
                  <w:r>
                    <w:rPr>
                      <w:rFonts w:hint="eastAsia" w:eastAsia="仿宋" w:cs="Times New Roman"/>
                      <w:color w:val="auto"/>
                      <w:sz w:val="21"/>
                      <w:szCs w:val="21"/>
                      <w:highlight w:val="none"/>
                      <w:lang w:val="en-US" w:eastAsia="zh-CN"/>
                    </w:rPr>
                    <w:t>抹布、油</w:t>
                  </w:r>
                </w:p>
              </w:tc>
              <w:tc>
                <w:tcPr>
                  <w:tcW w:w="849" w:type="dxa"/>
                  <w:vMerge w:val="continue"/>
                  <w:tcBorders>
                    <w:tl2br w:val="nil"/>
                    <w:tr2bl w:val="nil"/>
                  </w:tcBorders>
                  <w:vAlign w:val="center"/>
                </w:tcPr>
                <w:p>
                  <w:pPr>
                    <w:pStyle w:val="40"/>
                    <w:snapToGrid w:val="0"/>
                    <w:rPr>
                      <w:rFonts w:hint="default" w:ascii="Times New Roman" w:hAnsi="Times New Roman" w:eastAsia="仿宋" w:cs="Times New Roman"/>
                      <w:color w:val="auto"/>
                      <w:sz w:val="21"/>
                      <w:szCs w:val="21"/>
                      <w:highlight w:val="none"/>
                    </w:rPr>
                  </w:pPr>
                </w:p>
              </w:tc>
              <w:tc>
                <w:tcPr>
                  <w:tcW w:w="555" w:type="dxa"/>
                  <w:tcBorders>
                    <w:tl2br w:val="nil"/>
                    <w:tr2bl w:val="nil"/>
                  </w:tcBorders>
                  <w:vAlign w:val="center"/>
                </w:tcPr>
                <w:p>
                  <w:pPr>
                    <w:pStyle w:val="40"/>
                    <w:snapToGrid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w:t>
                  </w:r>
                  <w:r>
                    <w:rPr>
                      <w:rFonts w:hint="eastAsia"/>
                      <w:lang w:eastAsia="zh-CN"/>
                    </w:rPr>
                    <w:t>、</w:t>
                  </w:r>
                  <w:r>
                    <w:rPr>
                      <w:rFonts w:hint="eastAsia"/>
                      <w:lang w:val="en-US" w:eastAsia="zh-CN"/>
                    </w:rPr>
                    <w:t>I</w:t>
                  </w: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宋体" w:cs="Times New Roman"/>
                      <w:color w:val="auto"/>
                      <w:kern w:val="0"/>
                      <w:sz w:val="21"/>
                      <w:szCs w:val="21"/>
                      <w:highlight w:val="none"/>
                    </w:rPr>
                    <w:t>HW49</w:t>
                  </w:r>
                </w:p>
              </w:tc>
              <w:tc>
                <w:tcPr>
                  <w:tcW w:w="11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宋体" w:cs="Times New Roman"/>
                      <w:color w:val="auto"/>
                      <w:kern w:val="0"/>
                      <w:sz w:val="21"/>
                      <w:szCs w:val="21"/>
                      <w:highlight w:val="none"/>
                    </w:rPr>
                    <w:t>900-041-49</w:t>
                  </w:r>
                </w:p>
              </w:tc>
              <w:tc>
                <w:tcPr>
                  <w:tcW w:w="871"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0.02</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w:t>
            </w:r>
            <w:r>
              <w:rPr>
                <w:rFonts w:hint="eastAsia" w:ascii="Times New Roman" w:hAnsi="Times New Roman" w:eastAsia="仿宋" w:cs="Times New Roman"/>
                <w:b/>
                <w:bCs/>
                <w:kern w:val="0"/>
                <w:sz w:val="24"/>
                <w:szCs w:val="24"/>
                <w:lang w:val="en-US" w:eastAsia="zh-CN"/>
              </w:rPr>
              <w:t>4-</w:t>
            </w:r>
            <w:r>
              <w:rPr>
                <w:rFonts w:hint="eastAsia" w:eastAsia="仿宋" w:cs="Times New Roman"/>
                <w:b/>
                <w:bCs/>
                <w:kern w:val="0"/>
                <w:sz w:val="24"/>
                <w:szCs w:val="24"/>
                <w:lang w:val="en-US" w:eastAsia="zh-CN"/>
              </w:rPr>
              <w:t>31</w:t>
            </w:r>
            <w:r>
              <w:rPr>
                <w:rFonts w:hint="default" w:ascii="Times New Roman" w:hAnsi="Times New Roman" w:eastAsia="仿宋" w:cs="Times New Roman"/>
                <w:b/>
                <w:bCs/>
                <w:kern w:val="0"/>
                <w:sz w:val="24"/>
                <w:szCs w:val="24"/>
                <w:lang w:val="en-US" w:eastAsia="zh-CN"/>
              </w:rPr>
              <w:t xml:space="preserve"> 本项目建设项目危险废物产废汇总表</w:t>
            </w:r>
          </w:p>
          <w:tbl>
            <w:tblPr>
              <w:tblStyle w:val="17"/>
              <w:tblW w:w="8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684"/>
              <w:gridCol w:w="854"/>
              <w:gridCol w:w="1210"/>
              <w:gridCol w:w="796"/>
              <w:gridCol w:w="702"/>
              <w:gridCol w:w="445"/>
              <w:gridCol w:w="636"/>
              <w:gridCol w:w="502"/>
              <w:gridCol w:w="502"/>
              <w:gridCol w:w="555"/>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45"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序号</w:t>
                  </w:r>
                </w:p>
              </w:tc>
              <w:tc>
                <w:tcPr>
                  <w:tcW w:w="685"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危险废物名称</w:t>
                  </w:r>
                </w:p>
              </w:tc>
              <w:tc>
                <w:tcPr>
                  <w:tcW w:w="856"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危险废物类别</w:t>
                  </w:r>
                </w:p>
              </w:tc>
              <w:tc>
                <w:tcPr>
                  <w:tcW w:w="1210"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危险废物代码</w:t>
                  </w:r>
                </w:p>
              </w:tc>
              <w:tc>
                <w:tcPr>
                  <w:tcW w:w="796"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产生量（吨/年）</w:t>
                  </w:r>
                </w:p>
              </w:tc>
              <w:tc>
                <w:tcPr>
                  <w:tcW w:w="709"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产生工序及装置</w:t>
                  </w:r>
                </w:p>
              </w:tc>
              <w:tc>
                <w:tcPr>
                  <w:tcW w:w="446"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形态</w:t>
                  </w:r>
                </w:p>
              </w:tc>
              <w:tc>
                <w:tcPr>
                  <w:tcW w:w="622"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主要成分</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有害成分</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产废周期</w:t>
                  </w:r>
                </w:p>
              </w:tc>
              <w:tc>
                <w:tcPr>
                  <w:tcW w:w="543"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危险</w:t>
                  </w:r>
                </w:p>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特性</w:t>
                  </w:r>
                </w:p>
              </w:tc>
              <w:tc>
                <w:tcPr>
                  <w:tcW w:w="79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685"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eastAsia="zh-CN"/>
                    </w:rPr>
                    <w:t>废UV灯管</w:t>
                  </w:r>
                </w:p>
              </w:tc>
              <w:tc>
                <w:tcPr>
                  <w:tcW w:w="856"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kern w:val="0"/>
                      <w:sz w:val="21"/>
                      <w:szCs w:val="21"/>
                      <w:highlight w:val="none"/>
                    </w:rPr>
                    <w:t>HW29</w:t>
                  </w:r>
                </w:p>
              </w:tc>
              <w:tc>
                <w:tcPr>
                  <w:tcW w:w="12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kern w:val="0"/>
                      <w:sz w:val="21"/>
                      <w:szCs w:val="21"/>
                      <w:highlight w:val="none"/>
                    </w:rPr>
                    <w:t>900-023-29</w:t>
                  </w:r>
                </w:p>
              </w:tc>
              <w:tc>
                <w:tcPr>
                  <w:tcW w:w="796"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rPr>
                    <w:t>0.0</w:t>
                  </w:r>
                  <w:r>
                    <w:rPr>
                      <w:rFonts w:hint="eastAsia" w:eastAsia="仿宋" w:cs="Times New Roman"/>
                      <w:color w:val="auto"/>
                      <w:highlight w:val="none"/>
                      <w:lang w:val="en-US" w:eastAsia="zh-CN"/>
                    </w:rPr>
                    <w:t>05</w:t>
                  </w:r>
                </w:p>
              </w:tc>
              <w:tc>
                <w:tcPr>
                  <w:tcW w:w="709" w:type="dxa"/>
                  <w:noWrap w:val="0"/>
                  <w:vAlign w:val="center"/>
                </w:tcPr>
                <w:p>
                  <w:pPr>
                    <w:pStyle w:val="40"/>
                    <w:keepNext w:val="0"/>
                    <w:keepLines w:val="0"/>
                    <w:pageBreakBefore w:val="0"/>
                    <w:widowControl w:val="0"/>
                    <w:kinsoku/>
                    <w:wordWrap/>
                    <w:overflowPunct/>
                    <w:autoSpaceDE/>
                    <w:autoSpaceDN/>
                    <w:bidi w:val="0"/>
                    <w:snapToGrid w:val="0"/>
                    <w:textAlignment w:val="auto"/>
                    <w:rPr>
                      <w:rFonts w:hint="eastAsia" w:ascii="Times New Roman" w:hAnsi="Times New Roman" w:eastAsia="仿宋" w:cs="Times New Roman"/>
                      <w:color w:val="auto"/>
                      <w:highlight w:val="none"/>
                      <w:lang w:eastAsia="zh-CN"/>
                    </w:rPr>
                  </w:pPr>
                  <w:r>
                    <w:rPr>
                      <w:rFonts w:hint="eastAsia" w:ascii="Times New Roman" w:hAnsi="Times New Roman" w:eastAsia="仿宋" w:cs="Times New Roman"/>
                      <w:color w:val="auto"/>
                      <w:highlight w:val="none"/>
                      <w:lang w:val="en-US" w:eastAsia="zh-CN"/>
                    </w:rPr>
                    <w:t>废气处理</w:t>
                  </w:r>
                </w:p>
              </w:tc>
              <w:tc>
                <w:tcPr>
                  <w:tcW w:w="446"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w:t>
                  </w:r>
                </w:p>
              </w:tc>
              <w:tc>
                <w:tcPr>
                  <w:tcW w:w="622" w:type="dxa"/>
                  <w:noWrap w:val="0"/>
                  <w:vAlign w:val="center"/>
                </w:tcPr>
                <w:p>
                  <w:pPr>
                    <w:pStyle w:val="40"/>
                    <w:keepNext w:val="0"/>
                    <w:keepLines w:val="0"/>
                    <w:pageBreakBefore w:val="0"/>
                    <w:widowControl w:val="0"/>
                    <w:kinsoku/>
                    <w:wordWrap/>
                    <w:overflowPunct/>
                    <w:autoSpaceDE/>
                    <w:autoSpaceDN/>
                    <w:bidi w:val="0"/>
                    <w:snapToGrid w:val="0"/>
                    <w:ind w:firstLine="0" w:firstLineChars="0"/>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highlight w:val="none"/>
                    </w:rPr>
                    <w:t>UV灯管</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有</w:t>
                  </w:r>
                </w:p>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机</w:t>
                  </w:r>
                </w:p>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物</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6个月</w:t>
                  </w:r>
                </w:p>
              </w:tc>
              <w:tc>
                <w:tcPr>
                  <w:tcW w:w="543"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T</w:t>
                  </w:r>
                </w:p>
              </w:tc>
              <w:tc>
                <w:tcPr>
                  <w:tcW w:w="794" w:type="dxa"/>
                  <w:vMerge w:val="restar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危废储存后委托有资质单位处置</w:t>
                  </w:r>
                </w:p>
                <w:p>
                  <w:pPr>
                    <w:keepNext w:val="0"/>
                    <w:keepLines w:val="0"/>
                    <w:pageBreakBefore w:val="0"/>
                    <w:widowControl w:val="0"/>
                    <w:kinsoku/>
                    <w:wordWrap/>
                    <w:overflowPunct/>
                    <w:topLinePunct/>
                    <w:autoSpaceDE/>
                    <w:autoSpaceDN/>
                    <w:bidi w:val="0"/>
                    <w:adjustRightInd w:val="0"/>
                    <w:snapToGrid w:val="0"/>
                    <w:spacing w:line="240" w:lineRule="auto"/>
                    <w:ind w:firstLine="420"/>
                    <w:jc w:val="center"/>
                    <w:textAlignment w:val="auto"/>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685"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eastAsia="zh-CN"/>
                    </w:rPr>
                    <w:t>废活性炭</w:t>
                  </w:r>
                </w:p>
              </w:tc>
              <w:tc>
                <w:tcPr>
                  <w:tcW w:w="856"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HW49</w:t>
                  </w:r>
                </w:p>
              </w:tc>
              <w:tc>
                <w:tcPr>
                  <w:tcW w:w="12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900-0</w:t>
                  </w:r>
                  <w:r>
                    <w:rPr>
                      <w:rFonts w:hint="default" w:ascii="Times New Roman" w:hAnsi="Times New Roman" w:eastAsia="仿宋" w:cs="Times New Roman"/>
                      <w:color w:val="auto"/>
                      <w:kern w:val="0"/>
                      <w:sz w:val="21"/>
                      <w:szCs w:val="21"/>
                      <w:highlight w:val="none"/>
                      <w:lang w:val="en-US" w:eastAsia="zh-CN"/>
                    </w:rPr>
                    <w:t>39</w:t>
                  </w:r>
                  <w:r>
                    <w:rPr>
                      <w:rFonts w:hint="default" w:ascii="Times New Roman" w:hAnsi="Times New Roman" w:eastAsia="仿宋" w:cs="Times New Roman"/>
                      <w:color w:val="auto"/>
                      <w:kern w:val="0"/>
                      <w:sz w:val="21"/>
                      <w:szCs w:val="21"/>
                      <w:highlight w:val="none"/>
                    </w:rPr>
                    <w:t>-49</w:t>
                  </w:r>
                </w:p>
              </w:tc>
              <w:tc>
                <w:tcPr>
                  <w:tcW w:w="796"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highlight w:val="none"/>
                      <w:lang w:eastAsia="zh-CN"/>
                    </w:rPr>
                  </w:pPr>
                  <w:r>
                    <w:rPr>
                      <w:rFonts w:hint="eastAsia" w:eastAsia="仿宋" w:cs="Times New Roman"/>
                      <w:color w:val="auto"/>
                      <w:highlight w:val="none"/>
                      <w:lang w:val="en-US" w:eastAsia="zh-CN"/>
                    </w:rPr>
                    <w:t>4.648</w:t>
                  </w:r>
                </w:p>
              </w:tc>
              <w:tc>
                <w:tcPr>
                  <w:tcW w:w="709" w:type="dxa"/>
                  <w:noWrap w:val="0"/>
                  <w:vAlign w:val="center"/>
                </w:tcPr>
                <w:p>
                  <w:pPr>
                    <w:pStyle w:val="40"/>
                    <w:keepNext w:val="0"/>
                    <w:keepLines w:val="0"/>
                    <w:pageBreakBefore w:val="0"/>
                    <w:widowControl w:val="0"/>
                    <w:kinsoku/>
                    <w:wordWrap/>
                    <w:overflowPunct/>
                    <w:autoSpaceDE/>
                    <w:autoSpaceDN/>
                    <w:bidi w:val="0"/>
                    <w:snapToGrid w:val="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废气处理</w:t>
                  </w:r>
                </w:p>
              </w:tc>
              <w:tc>
                <w:tcPr>
                  <w:tcW w:w="446"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w:t>
                  </w:r>
                </w:p>
              </w:tc>
              <w:tc>
                <w:tcPr>
                  <w:tcW w:w="622" w:type="dxa"/>
                  <w:noWrap w:val="0"/>
                  <w:vAlign w:val="center"/>
                </w:tcPr>
                <w:p>
                  <w:pPr>
                    <w:pStyle w:val="40"/>
                    <w:keepNext w:val="0"/>
                    <w:keepLines w:val="0"/>
                    <w:pageBreakBefore w:val="0"/>
                    <w:widowControl w:val="0"/>
                    <w:kinsoku/>
                    <w:wordWrap/>
                    <w:overflowPunct/>
                    <w:autoSpaceDE/>
                    <w:autoSpaceDN/>
                    <w:bidi w:val="0"/>
                    <w:snapToGrid w:val="0"/>
                    <w:ind w:firstLine="0" w:firstLineChars="0"/>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highlight w:val="none"/>
                    </w:rPr>
                    <w:t>活性炭、有机物</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有</w:t>
                  </w:r>
                </w:p>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机</w:t>
                  </w:r>
                </w:p>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物</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3</w:t>
                  </w:r>
                  <w:r>
                    <w:rPr>
                      <w:rFonts w:hint="default" w:ascii="Times New Roman" w:hAnsi="Times New Roman" w:eastAsia="仿宋" w:cs="Times New Roman"/>
                      <w:color w:val="auto"/>
                      <w:kern w:val="0"/>
                      <w:sz w:val="21"/>
                      <w:szCs w:val="21"/>
                      <w:highlight w:val="none"/>
                    </w:rPr>
                    <w:t>个月</w:t>
                  </w:r>
                </w:p>
              </w:tc>
              <w:tc>
                <w:tcPr>
                  <w:tcW w:w="543"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T</w:t>
                  </w:r>
                </w:p>
              </w:tc>
              <w:tc>
                <w:tcPr>
                  <w:tcW w:w="794"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3</w:t>
                  </w:r>
                </w:p>
              </w:tc>
              <w:tc>
                <w:tcPr>
                  <w:tcW w:w="685"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eastAsia="zh-CN"/>
                    </w:rPr>
                    <w:t>废</w:t>
                  </w:r>
                  <w:r>
                    <w:rPr>
                      <w:rFonts w:hint="eastAsia" w:ascii="Times New Roman" w:hAnsi="Times New Roman" w:eastAsia="仿宋" w:cs="Times New Roman"/>
                      <w:color w:val="auto"/>
                      <w:highlight w:val="none"/>
                      <w:lang w:val="en-US" w:eastAsia="zh-CN"/>
                    </w:rPr>
                    <w:t>甲醇</w:t>
                  </w:r>
                  <w:r>
                    <w:rPr>
                      <w:rFonts w:hint="default" w:ascii="Times New Roman" w:hAnsi="Times New Roman" w:eastAsia="仿宋" w:cs="Times New Roman"/>
                      <w:color w:val="auto"/>
                      <w:highlight w:val="none"/>
                      <w:lang w:val="en-US" w:eastAsia="zh-CN"/>
                    </w:rPr>
                    <w:t>桶</w:t>
                  </w:r>
                </w:p>
              </w:tc>
              <w:tc>
                <w:tcPr>
                  <w:tcW w:w="856"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HW49</w:t>
                  </w:r>
                </w:p>
              </w:tc>
              <w:tc>
                <w:tcPr>
                  <w:tcW w:w="12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900-041-49</w:t>
                  </w:r>
                </w:p>
              </w:tc>
              <w:tc>
                <w:tcPr>
                  <w:tcW w:w="796"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0.1</w:t>
                  </w:r>
                </w:p>
              </w:tc>
              <w:tc>
                <w:tcPr>
                  <w:tcW w:w="709" w:type="dxa"/>
                  <w:noWrap w:val="0"/>
                  <w:vAlign w:val="center"/>
                </w:tcPr>
                <w:p>
                  <w:pPr>
                    <w:pStyle w:val="40"/>
                    <w:keepNext w:val="0"/>
                    <w:keepLines w:val="0"/>
                    <w:pageBreakBefore w:val="0"/>
                    <w:widowControl w:val="0"/>
                    <w:kinsoku/>
                    <w:wordWrap/>
                    <w:overflowPunct/>
                    <w:autoSpaceDE/>
                    <w:autoSpaceDN/>
                    <w:bidi w:val="0"/>
                    <w:snapToGrid w:val="0"/>
                    <w:textAlignment w:val="auto"/>
                    <w:rPr>
                      <w:rFonts w:hint="eastAsia" w:ascii="Times New Roman" w:hAnsi="Times New Roman" w:eastAsia="仿宋" w:cs="Times New Roman"/>
                      <w:color w:val="auto"/>
                      <w:highlight w:val="none"/>
                      <w:lang w:eastAsia="zh-CN"/>
                    </w:rPr>
                  </w:pPr>
                  <w:r>
                    <w:rPr>
                      <w:rFonts w:hint="eastAsia" w:ascii="Times New Roman" w:hAnsi="Times New Roman" w:eastAsia="仿宋" w:cs="Times New Roman"/>
                      <w:color w:val="auto"/>
                      <w:highlight w:val="none"/>
                      <w:lang w:val="en-US" w:eastAsia="zh-CN"/>
                    </w:rPr>
                    <w:t>原料包装</w:t>
                  </w:r>
                </w:p>
              </w:tc>
              <w:tc>
                <w:tcPr>
                  <w:tcW w:w="446"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w:t>
                  </w:r>
                </w:p>
              </w:tc>
              <w:tc>
                <w:tcPr>
                  <w:tcW w:w="622" w:type="dxa"/>
                  <w:noWrap w:val="0"/>
                  <w:vAlign w:val="center"/>
                </w:tcPr>
                <w:p>
                  <w:pPr>
                    <w:pStyle w:val="40"/>
                    <w:keepNext w:val="0"/>
                    <w:keepLines w:val="0"/>
                    <w:pageBreakBefore w:val="0"/>
                    <w:widowControl w:val="0"/>
                    <w:kinsoku/>
                    <w:wordWrap/>
                    <w:overflowPunct/>
                    <w:autoSpaceDE/>
                    <w:autoSpaceDN/>
                    <w:bidi w:val="0"/>
                    <w:snapToGrid w:val="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铁、有机物</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有机物</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6个月</w:t>
                  </w:r>
                </w:p>
              </w:tc>
              <w:tc>
                <w:tcPr>
                  <w:tcW w:w="543"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rPr>
                  </w:pPr>
                  <w:r>
                    <w:rPr>
                      <w:rFonts w:hint="default" w:ascii="Times New Roman" w:hAnsi="Times New Roman" w:eastAsia="仿宋" w:cs="Times New Roman"/>
                      <w:color w:val="auto"/>
                      <w:kern w:val="0"/>
                      <w:sz w:val="21"/>
                      <w:szCs w:val="21"/>
                      <w:highlight w:val="none"/>
                      <w:lang w:val="en-US"/>
                    </w:rPr>
                    <w:t>T</w:t>
                  </w:r>
                </w:p>
              </w:tc>
              <w:tc>
                <w:tcPr>
                  <w:tcW w:w="794"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4</w:t>
                  </w:r>
                </w:p>
              </w:tc>
              <w:tc>
                <w:tcPr>
                  <w:tcW w:w="685"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废油桶</w:t>
                  </w:r>
                </w:p>
              </w:tc>
              <w:tc>
                <w:tcPr>
                  <w:tcW w:w="856"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HW08</w:t>
                  </w:r>
                </w:p>
              </w:tc>
              <w:tc>
                <w:tcPr>
                  <w:tcW w:w="12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900-249-08</w:t>
                  </w:r>
                </w:p>
              </w:tc>
              <w:tc>
                <w:tcPr>
                  <w:tcW w:w="796"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0.04</w:t>
                  </w:r>
                </w:p>
              </w:tc>
              <w:tc>
                <w:tcPr>
                  <w:tcW w:w="709" w:type="dxa"/>
                  <w:noWrap w:val="0"/>
                  <w:vAlign w:val="center"/>
                </w:tcPr>
                <w:p>
                  <w:pPr>
                    <w:pStyle w:val="40"/>
                    <w:keepNext w:val="0"/>
                    <w:keepLines w:val="0"/>
                    <w:pageBreakBefore w:val="0"/>
                    <w:widowControl w:val="0"/>
                    <w:kinsoku/>
                    <w:wordWrap/>
                    <w:overflowPunct/>
                    <w:autoSpaceDE/>
                    <w:autoSpaceDN/>
                    <w:bidi w:val="0"/>
                    <w:snapToGrid w:val="0"/>
                    <w:textAlignment w:val="auto"/>
                    <w:rPr>
                      <w:rFonts w:hint="eastAsia"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原料包装</w:t>
                  </w:r>
                </w:p>
              </w:tc>
              <w:tc>
                <w:tcPr>
                  <w:tcW w:w="446"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w:t>
                  </w:r>
                </w:p>
              </w:tc>
              <w:tc>
                <w:tcPr>
                  <w:tcW w:w="622" w:type="dxa"/>
                  <w:noWrap w:val="0"/>
                  <w:vAlign w:val="center"/>
                </w:tcPr>
                <w:p>
                  <w:pPr>
                    <w:pStyle w:val="40"/>
                    <w:keepNext w:val="0"/>
                    <w:keepLines w:val="0"/>
                    <w:pageBreakBefore w:val="0"/>
                    <w:widowControl w:val="0"/>
                    <w:kinsoku/>
                    <w:wordWrap/>
                    <w:overflowPunct/>
                    <w:autoSpaceDE/>
                    <w:autoSpaceDN/>
                    <w:bidi w:val="0"/>
                    <w:snapToGrid w:val="0"/>
                    <w:ind w:firstLine="0" w:firstLineChars="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铁、</w:t>
                  </w:r>
                  <w:r>
                    <w:rPr>
                      <w:rFonts w:hint="eastAsia" w:eastAsia="仿宋" w:cs="Times New Roman"/>
                      <w:color w:val="auto"/>
                      <w:highlight w:val="none"/>
                      <w:lang w:val="en-US" w:eastAsia="zh-CN"/>
                    </w:rPr>
                    <w:t>油</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油</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6个月</w:t>
                  </w:r>
                </w:p>
              </w:tc>
              <w:tc>
                <w:tcPr>
                  <w:tcW w:w="543"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T</w:t>
                  </w:r>
                </w:p>
              </w:tc>
              <w:tc>
                <w:tcPr>
                  <w:tcW w:w="794"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5</w:t>
                  </w:r>
                </w:p>
              </w:tc>
              <w:tc>
                <w:tcPr>
                  <w:tcW w:w="685"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废抹布、手套</w:t>
                  </w:r>
                </w:p>
              </w:tc>
              <w:tc>
                <w:tcPr>
                  <w:tcW w:w="856"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HW49</w:t>
                  </w:r>
                </w:p>
              </w:tc>
              <w:tc>
                <w:tcPr>
                  <w:tcW w:w="12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900-041-49</w:t>
                  </w:r>
                </w:p>
              </w:tc>
              <w:tc>
                <w:tcPr>
                  <w:tcW w:w="796"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0.02</w:t>
                  </w:r>
                </w:p>
              </w:tc>
              <w:tc>
                <w:tcPr>
                  <w:tcW w:w="709" w:type="dxa"/>
                  <w:noWrap w:val="0"/>
                  <w:vAlign w:val="center"/>
                </w:tcPr>
                <w:p>
                  <w:pPr>
                    <w:pStyle w:val="40"/>
                    <w:keepNext w:val="0"/>
                    <w:keepLines w:val="0"/>
                    <w:pageBreakBefore w:val="0"/>
                    <w:widowControl w:val="0"/>
                    <w:kinsoku/>
                    <w:wordWrap/>
                    <w:overflowPunct/>
                    <w:autoSpaceDE/>
                    <w:autoSpaceDN/>
                    <w:bidi w:val="0"/>
                    <w:snapToGrid w:val="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生产</w:t>
                  </w:r>
                </w:p>
              </w:tc>
              <w:tc>
                <w:tcPr>
                  <w:tcW w:w="446"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固</w:t>
                  </w:r>
                </w:p>
              </w:tc>
              <w:tc>
                <w:tcPr>
                  <w:tcW w:w="622" w:type="dxa"/>
                  <w:noWrap w:val="0"/>
                  <w:vAlign w:val="center"/>
                </w:tcPr>
                <w:p>
                  <w:pPr>
                    <w:pStyle w:val="40"/>
                    <w:keepNext w:val="0"/>
                    <w:keepLines w:val="0"/>
                    <w:pageBreakBefore w:val="0"/>
                    <w:widowControl w:val="0"/>
                    <w:kinsoku/>
                    <w:wordWrap/>
                    <w:overflowPunct/>
                    <w:autoSpaceDE/>
                    <w:autoSpaceDN/>
                    <w:bidi w:val="0"/>
                    <w:snapToGrid w:val="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抹布手套、有机物</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油类</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1天</w:t>
                  </w:r>
                </w:p>
              </w:tc>
              <w:tc>
                <w:tcPr>
                  <w:tcW w:w="543"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T</w:t>
                  </w:r>
                  <w:r>
                    <w:rPr>
                      <w:rFonts w:hint="eastAsia" w:eastAsia="仿宋" w:cs="Times New Roman"/>
                      <w:color w:val="auto"/>
                      <w:kern w:val="0"/>
                      <w:sz w:val="21"/>
                      <w:szCs w:val="21"/>
                      <w:highlight w:val="none"/>
                      <w:lang w:eastAsia="zh-CN"/>
                    </w:rPr>
                    <w:t>、</w:t>
                  </w:r>
                  <w:r>
                    <w:rPr>
                      <w:rFonts w:hint="eastAsia" w:eastAsia="仿宋" w:cs="Times New Roman"/>
                      <w:color w:val="auto"/>
                      <w:kern w:val="0"/>
                      <w:sz w:val="21"/>
                      <w:szCs w:val="21"/>
                      <w:highlight w:val="none"/>
                      <w:lang w:val="en-US" w:eastAsia="zh-CN"/>
                    </w:rPr>
                    <w:t>I</w:t>
                  </w:r>
                </w:p>
              </w:tc>
              <w:tc>
                <w:tcPr>
                  <w:tcW w:w="794"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6</w:t>
                  </w:r>
                </w:p>
              </w:tc>
              <w:tc>
                <w:tcPr>
                  <w:tcW w:w="685"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highlight w:val="none"/>
                      <w:lang w:val="en-US" w:eastAsia="zh-CN"/>
                    </w:rPr>
                  </w:pPr>
                  <w:r>
                    <w:rPr>
                      <w:rFonts w:hint="eastAsia" w:eastAsia="仿宋" w:cs="Times New Roman"/>
                      <w:color w:val="auto"/>
                      <w:sz w:val="21"/>
                      <w:szCs w:val="21"/>
                      <w:highlight w:val="none"/>
                      <w:lang w:val="en-US" w:eastAsia="zh-CN"/>
                    </w:rPr>
                    <w:t>废油渣</w:t>
                  </w:r>
                </w:p>
              </w:tc>
              <w:tc>
                <w:tcPr>
                  <w:tcW w:w="856"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kern w:val="0"/>
                      <w:sz w:val="21"/>
                      <w:szCs w:val="21"/>
                      <w:highlight w:val="none"/>
                      <w:lang w:val="en-US" w:eastAsia="zh-CN"/>
                    </w:rPr>
                    <w:t>HW08</w:t>
                  </w:r>
                </w:p>
              </w:tc>
              <w:tc>
                <w:tcPr>
                  <w:tcW w:w="12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sz w:val="21"/>
                      <w:szCs w:val="21"/>
                      <w:highlight w:val="none"/>
                      <w:lang w:val="en-US" w:eastAsia="zh-CN"/>
                    </w:rPr>
                    <w:t>900-203-08</w:t>
                  </w:r>
                </w:p>
              </w:tc>
              <w:tc>
                <w:tcPr>
                  <w:tcW w:w="796"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0.9t/3a</w:t>
                  </w:r>
                </w:p>
              </w:tc>
              <w:tc>
                <w:tcPr>
                  <w:tcW w:w="709" w:type="dxa"/>
                  <w:noWrap w:val="0"/>
                  <w:vAlign w:val="center"/>
                </w:tcPr>
                <w:p>
                  <w:pPr>
                    <w:pStyle w:val="40"/>
                    <w:keepNext w:val="0"/>
                    <w:keepLines w:val="0"/>
                    <w:pageBreakBefore w:val="0"/>
                    <w:widowControl w:val="0"/>
                    <w:kinsoku/>
                    <w:wordWrap/>
                    <w:overflowPunct/>
                    <w:autoSpaceDE/>
                    <w:autoSpaceDN/>
                    <w:bidi w:val="0"/>
                    <w:snapToGrid w:val="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生产</w:t>
                  </w:r>
                </w:p>
              </w:tc>
              <w:tc>
                <w:tcPr>
                  <w:tcW w:w="446"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液</w:t>
                  </w:r>
                </w:p>
              </w:tc>
              <w:tc>
                <w:tcPr>
                  <w:tcW w:w="622" w:type="dxa"/>
                  <w:noWrap w:val="0"/>
                  <w:vAlign w:val="center"/>
                </w:tcPr>
                <w:p>
                  <w:pPr>
                    <w:pStyle w:val="40"/>
                    <w:keepNext w:val="0"/>
                    <w:keepLines w:val="0"/>
                    <w:pageBreakBefore w:val="0"/>
                    <w:widowControl w:val="0"/>
                    <w:kinsoku/>
                    <w:wordWrap/>
                    <w:overflowPunct/>
                    <w:autoSpaceDE/>
                    <w:autoSpaceDN/>
                    <w:bidi w:val="0"/>
                    <w:snapToGrid w:val="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淬火油</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淬火油</w:t>
                  </w:r>
                </w:p>
              </w:tc>
              <w:tc>
                <w:tcPr>
                  <w:tcW w:w="50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3年</w:t>
                  </w:r>
                </w:p>
              </w:tc>
              <w:tc>
                <w:tcPr>
                  <w:tcW w:w="543"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T</w:t>
                  </w:r>
                </w:p>
              </w:tc>
              <w:tc>
                <w:tcPr>
                  <w:tcW w:w="794"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default"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（三）固体废物贮存和处置情况</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本项目</w:t>
            </w:r>
            <w:r>
              <w:rPr>
                <w:rFonts w:hint="eastAsia" w:eastAsia="仿宋" w:cs="Times New Roman"/>
                <w:kern w:val="0"/>
                <w:sz w:val="24"/>
                <w:szCs w:val="24"/>
                <w:lang w:val="en-US" w:eastAsia="zh-CN"/>
              </w:rPr>
              <w:t>搬迁后新建一个5</w:t>
            </w:r>
            <w:r>
              <w:rPr>
                <w:rFonts w:hint="eastAsia" w:ascii="Times New Roman" w:hAnsi="Times New Roman" w:eastAsia="仿宋" w:cs="Times New Roman"/>
                <w:kern w:val="0"/>
                <w:sz w:val="24"/>
                <w:szCs w:val="24"/>
                <w:lang w:val="en-US" w:eastAsia="zh-CN"/>
              </w:rPr>
              <w:t>m</w:t>
            </w:r>
            <w:r>
              <w:rPr>
                <w:rFonts w:hint="eastAsia" w:ascii="Times New Roman" w:hAnsi="Times New Roman" w:eastAsia="仿宋" w:cs="Times New Roman"/>
                <w:kern w:val="0"/>
                <w:sz w:val="24"/>
                <w:szCs w:val="24"/>
                <w:vertAlign w:val="superscript"/>
                <w:lang w:val="en-US" w:eastAsia="zh-CN"/>
              </w:rPr>
              <w:t>2</w:t>
            </w:r>
            <w:r>
              <w:rPr>
                <w:rFonts w:hint="eastAsia" w:ascii="Times New Roman" w:hAnsi="Times New Roman" w:eastAsia="仿宋" w:cs="Times New Roman"/>
                <w:kern w:val="0"/>
                <w:sz w:val="24"/>
                <w:szCs w:val="24"/>
                <w:lang w:val="en-US" w:eastAsia="zh-CN"/>
              </w:rPr>
              <w:t>的危废仓库，考虑到进出口、过道等，有效存储面积按80%计算，则有效存储面积为</w:t>
            </w:r>
            <w:r>
              <w:rPr>
                <w:rFonts w:hint="eastAsia" w:eastAsia="仿宋" w:cs="Times New Roman"/>
                <w:kern w:val="0"/>
                <w:sz w:val="24"/>
                <w:szCs w:val="24"/>
                <w:lang w:val="en-US" w:eastAsia="zh-CN"/>
              </w:rPr>
              <w:t>4</w:t>
            </w:r>
            <w:r>
              <w:rPr>
                <w:rFonts w:hint="eastAsia" w:ascii="Times New Roman" w:hAnsi="Times New Roman" w:eastAsia="仿宋" w:cs="Times New Roman"/>
                <w:kern w:val="0"/>
                <w:sz w:val="24"/>
                <w:szCs w:val="24"/>
                <w:lang w:val="en-US" w:eastAsia="zh-CN"/>
              </w:rPr>
              <w:t>m</w:t>
            </w:r>
            <w:r>
              <w:rPr>
                <w:rFonts w:hint="eastAsia" w:ascii="Times New Roman" w:hAnsi="Times New Roman" w:eastAsia="仿宋" w:cs="Times New Roman"/>
                <w:kern w:val="0"/>
                <w:sz w:val="24"/>
                <w:szCs w:val="24"/>
                <w:vertAlign w:val="superscript"/>
                <w:lang w:val="en-US" w:eastAsia="zh-CN"/>
              </w:rPr>
              <w:t>2</w:t>
            </w:r>
            <w:r>
              <w:rPr>
                <w:rFonts w:hint="eastAsia" w:ascii="Times New Roman" w:hAnsi="Times New Roman" w:eastAsia="仿宋" w:cs="Times New Roman"/>
                <w:kern w:val="0"/>
                <w:sz w:val="24"/>
                <w:szCs w:val="24"/>
                <w:lang w:val="en-US" w:eastAsia="zh-CN"/>
              </w:rPr>
              <w:t>。本项目</w:t>
            </w:r>
            <w:r>
              <w:rPr>
                <w:rFonts w:hint="eastAsia" w:eastAsia="仿宋" w:cs="Times New Roman"/>
                <w:kern w:val="0"/>
                <w:sz w:val="24"/>
                <w:szCs w:val="24"/>
                <w:lang w:val="en-US" w:eastAsia="zh-CN"/>
              </w:rPr>
              <w:t>液体危废</w:t>
            </w:r>
            <w:r>
              <w:rPr>
                <w:rFonts w:hint="eastAsia" w:ascii="Times New Roman" w:hAnsi="Times New Roman" w:eastAsia="仿宋" w:cs="Times New Roman"/>
                <w:kern w:val="0"/>
                <w:sz w:val="24"/>
                <w:szCs w:val="24"/>
                <w:lang w:val="en-US" w:eastAsia="zh-CN"/>
              </w:rPr>
              <w:t>采用吨桶堆放，其余固态危废采用吨袋存放，</w:t>
            </w:r>
            <w:r>
              <w:rPr>
                <w:rFonts w:hint="eastAsia" w:eastAsia="仿宋" w:cs="Times New Roman"/>
                <w:kern w:val="0"/>
                <w:sz w:val="24"/>
                <w:szCs w:val="24"/>
                <w:lang w:val="en-US" w:eastAsia="zh-CN"/>
              </w:rPr>
              <w:t>废包装桶直接摆放，则</w:t>
            </w:r>
            <w:r>
              <w:rPr>
                <w:rFonts w:hint="eastAsia" w:ascii="Times New Roman" w:hAnsi="Times New Roman" w:eastAsia="仿宋" w:cs="Times New Roman"/>
                <w:kern w:val="0"/>
                <w:sz w:val="24"/>
                <w:szCs w:val="24"/>
                <w:lang w:val="en-US" w:eastAsia="zh-CN"/>
              </w:rPr>
              <w:t>每平方空间内危废储存量为</w:t>
            </w:r>
            <w:r>
              <w:rPr>
                <w:rFonts w:hint="eastAsia" w:eastAsia="仿宋" w:cs="Times New Roman"/>
                <w:kern w:val="0"/>
                <w:sz w:val="24"/>
                <w:szCs w:val="24"/>
                <w:lang w:val="en-US" w:eastAsia="zh-CN"/>
              </w:rPr>
              <w:t>1</w:t>
            </w:r>
            <w:r>
              <w:rPr>
                <w:rFonts w:hint="eastAsia" w:ascii="Times New Roman" w:hAnsi="Times New Roman" w:eastAsia="仿宋" w:cs="Times New Roman"/>
                <w:kern w:val="0"/>
                <w:sz w:val="24"/>
                <w:szCs w:val="24"/>
                <w:lang w:val="en-US" w:eastAsia="zh-CN"/>
              </w:rPr>
              <w:t>t，一次性储存危废约</w:t>
            </w:r>
            <w:r>
              <w:rPr>
                <w:rFonts w:hint="eastAsia" w:eastAsia="仿宋" w:cs="Times New Roman"/>
                <w:kern w:val="0"/>
                <w:sz w:val="24"/>
                <w:szCs w:val="24"/>
                <w:lang w:val="en-US" w:eastAsia="zh-CN"/>
              </w:rPr>
              <w:t>4</w:t>
            </w:r>
            <w:r>
              <w:rPr>
                <w:rFonts w:hint="eastAsia" w:ascii="Times New Roman" w:hAnsi="Times New Roman" w:eastAsia="仿宋" w:cs="Times New Roman"/>
                <w:kern w:val="0"/>
                <w:sz w:val="24"/>
                <w:szCs w:val="24"/>
                <w:lang w:val="en-US" w:eastAsia="zh-CN"/>
              </w:rPr>
              <w:t>吨，完全能够满足企业危险废物的暂存需求。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表</w:t>
            </w:r>
            <w:r>
              <w:rPr>
                <w:rFonts w:hint="eastAsia" w:eastAsia="仿宋" w:cs="Times New Roman"/>
                <w:b/>
                <w:bCs/>
                <w:kern w:val="0"/>
                <w:sz w:val="24"/>
                <w:szCs w:val="24"/>
                <w:lang w:val="en-US" w:eastAsia="zh-CN"/>
              </w:rPr>
              <w:t>4-32本项目</w:t>
            </w:r>
            <w:r>
              <w:rPr>
                <w:rFonts w:hint="eastAsia" w:ascii="Times New Roman" w:hAnsi="Times New Roman" w:eastAsia="仿宋" w:cs="Times New Roman"/>
                <w:b/>
                <w:bCs/>
                <w:kern w:val="0"/>
                <w:sz w:val="24"/>
                <w:szCs w:val="24"/>
                <w:lang w:val="en-US" w:eastAsia="zh-CN"/>
              </w:rPr>
              <w:t>固体废物利用处置方式评价表</w:t>
            </w:r>
          </w:p>
          <w:tbl>
            <w:tblPr>
              <w:tblStyle w:val="1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700"/>
              <w:gridCol w:w="710"/>
              <w:gridCol w:w="734"/>
              <w:gridCol w:w="711"/>
              <w:gridCol w:w="912"/>
              <w:gridCol w:w="1044"/>
              <w:gridCol w:w="1063"/>
              <w:gridCol w:w="1044"/>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2"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序号</w:t>
                  </w:r>
                </w:p>
              </w:tc>
              <w:tc>
                <w:tcPr>
                  <w:tcW w:w="418"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固废名称</w:t>
                  </w:r>
                </w:p>
              </w:tc>
              <w:tc>
                <w:tcPr>
                  <w:tcW w:w="432"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产生工序</w:t>
                  </w:r>
                </w:p>
              </w:tc>
              <w:tc>
                <w:tcPr>
                  <w:tcW w:w="419"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属性</w:t>
                  </w:r>
                </w:p>
              </w:tc>
              <w:tc>
                <w:tcPr>
                  <w:tcW w:w="537"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废物类别</w:t>
                  </w:r>
                </w:p>
              </w:tc>
              <w:tc>
                <w:tcPr>
                  <w:tcW w:w="615"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废物代码</w:t>
                  </w:r>
                </w:p>
              </w:tc>
              <w:tc>
                <w:tcPr>
                  <w:tcW w:w="626"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本项目产生量（吨/年）</w:t>
                  </w:r>
                </w:p>
              </w:tc>
              <w:tc>
                <w:tcPr>
                  <w:tcW w:w="615"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利用处置方式</w:t>
                  </w:r>
                </w:p>
              </w:tc>
              <w:tc>
                <w:tcPr>
                  <w:tcW w:w="921"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利用处置单位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2"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418" w:type="pct"/>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highlight w:val="none"/>
                    </w:rPr>
                    <w:t>生活垃圾</w:t>
                  </w:r>
                </w:p>
              </w:tc>
              <w:tc>
                <w:tcPr>
                  <w:tcW w:w="432"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bidi="ar"/>
                    </w:rPr>
                    <w:t>生活</w:t>
                  </w:r>
                </w:p>
              </w:tc>
              <w:tc>
                <w:tcPr>
                  <w:tcW w:w="419"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生活垃圾</w:t>
                  </w:r>
                </w:p>
              </w:tc>
              <w:tc>
                <w:tcPr>
                  <w:tcW w:w="537" w:type="pct"/>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eastAsia="zh-CN"/>
                    </w:rPr>
                    <w:t>--</w:t>
                  </w:r>
                </w:p>
              </w:tc>
              <w:tc>
                <w:tcPr>
                  <w:tcW w:w="615" w:type="pct"/>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w:t>
                  </w:r>
                </w:p>
              </w:tc>
              <w:tc>
                <w:tcPr>
                  <w:tcW w:w="1040" w:type="dxa"/>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highlight w:val="none"/>
                      <w:lang w:val="en-US" w:eastAsia="zh-CN"/>
                    </w:rPr>
                    <w:t>1.5</w:t>
                  </w:r>
                </w:p>
              </w:tc>
              <w:tc>
                <w:tcPr>
                  <w:tcW w:w="615"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环卫处理</w:t>
                  </w:r>
                </w:p>
              </w:tc>
              <w:tc>
                <w:tcPr>
                  <w:tcW w:w="921" w:type="pct"/>
                  <w:tcBorders>
                    <w:tl2br w:val="nil"/>
                    <w:tr2bl w:val="nil"/>
                  </w:tcBorders>
                  <w:shd w:val="clear" w:color="auto" w:fill="auto"/>
                  <w:vAlign w:val="center"/>
                </w:tcPr>
                <w:p>
                  <w:pPr>
                    <w:widowControl/>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5</w:t>
                  </w:r>
                </w:p>
              </w:tc>
              <w:tc>
                <w:tcPr>
                  <w:tcW w:w="418" w:type="pct"/>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highlight w:val="none"/>
                      <w:lang w:val="en-US" w:eastAsia="zh-CN"/>
                    </w:rPr>
                    <w:t>废UV灯管</w:t>
                  </w:r>
                </w:p>
              </w:tc>
              <w:tc>
                <w:tcPr>
                  <w:tcW w:w="432"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val="en-US" w:eastAsia="zh-CN" w:bidi="ar"/>
                    </w:rPr>
                    <w:t>废气处理</w:t>
                  </w:r>
                </w:p>
              </w:tc>
              <w:tc>
                <w:tcPr>
                  <w:tcW w:w="419" w:type="pct"/>
                  <w:vMerge w:val="restart"/>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危险固废</w:t>
                  </w:r>
                </w:p>
              </w:tc>
              <w:tc>
                <w:tcPr>
                  <w:tcW w:w="53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rPr>
                    <w:t>HW29</w:t>
                  </w:r>
                </w:p>
              </w:tc>
              <w:tc>
                <w:tcPr>
                  <w:tcW w:w="61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rPr>
                    <w:t>900-023-29</w:t>
                  </w:r>
                </w:p>
              </w:tc>
              <w:tc>
                <w:tcPr>
                  <w:tcW w:w="1040" w:type="dxa"/>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highlight w:val="none"/>
                    </w:rPr>
                    <w:t>0.0</w:t>
                  </w:r>
                  <w:r>
                    <w:rPr>
                      <w:rFonts w:hint="eastAsia" w:eastAsia="仿宋" w:cs="Times New Roman"/>
                      <w:color w:val="auto"/>
                      <w:highlight w:val="none"/>
                      <w:lang w:val="en-US" w:eastAsia="zh-CN"/>
                    </w:rPr>
                    <w:t>05</w:t>
                  </w:r>
                </w:p>
              </w:tc>
              <w:tc>
                <w:tcPr>
                  <w:tcW w:w="615" w:type="pct"/>
                  <w:vMerge w:val="restart"/>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有资质单位处置</w:t>
                  </w:r>
                </w:p>
              </w:tc>
              <w:tc>
                <w:tcPr>
                  <w:tcW w:w="921" w:type="pct"/>
                  <w:vMerge w:val="restart"/>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有资质单位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6</w:t>
                  </w:r>
                </w:p>
              </w:tc>
              <w:tc>
                <w:tcPr>
                  <w:tcW w:w="418" w:type="pct"/>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highlight w:val="none"/>
                      <w:lang w:val="en-US" w:eastAsia="zh-CN"/>
                    </w:rPr>
                    <w:t>废活性炭</w:t>
                  </w:r>
                </w:p>
              </w:tc>
              <w:tc>
                <w:tcPr>
                  <w:tcW w:w="432"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p>
              </w:tc>
              <w:tc>
                <w:tcPr>
                  <w:tcW w:w="419"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p>
              </w:tc>
              <w:tc>
                <w:tcPr>
                  <w:tcW w:w="53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rPr>
                    <w:t>HW49</w:t>
                  </w:r>
                </w:p>
              </w:tc>
              <w:tc>
                <w:tcPr>
                  <w:tcW w:w="61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rPr>
                    <w:t>900-0</w:t>
                  </w:r>
                  <w:r>
                    <w:rPr>
                      <w:rFonts w:hint="default" w:ascii="Times New Roman" w:hAnsi="Times New Roman" w:eastAsia="仿宋" w:cs="Times New Roman"/>
                      <w:color w:val="auto"/>
                      <w:kern w:val="0"/>
                      <w:sz w:val="21"/>
                      <w:szCs w:val="21"/>
                      <w:highlight w:val="none"/>
                      <w:lang w:val="en-US" w:eastAsia="zh-CN"/>
                    </w:rPr>
                    <w:t>39</w:t>
                  </w:r>
                  <w:r>
                    <w:rPr>
                      <w:rFonts w:hint="default" w:ascii="Times New Roman" w:hAnsi="Times New Roman" w:eastAsia="仿宋" w:cs="Times New Roman"/>
                      <w:color w:val="auto"/>
                      <w:kern w:val="0"/>
                      <w:sz w:val="21"/>
                      <w:szCs w:val="21"/>
                      <w:highlight w:val="none"/>
                    </w:rPr>
                    <w:t>-49</w:t>
                  </w:r>
                </w:p>
              </w:tc>
              <w:tc>
                <w:tcPr>
                  <w:tcW w:w="1040" w:type="dxa"/>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highlight w:val="none"/>
                      <w:lang w:val="en-US" w:eastAsia="zh-CN"/>
                    </w:rPr>
                    <w:t>4.648</w:t>
                  </w:r>
                </w:p>
              </w:tc>
              <w:tc>
                <w:tcPr>
                  <w:tcW w:w="615"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921"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7</w:t>
                  </w:r>
                </w:p>
              </w:tc>
              <w:tc>
                <w:tcPr>
                  <w:tcW w:w="418" w:type="pct"/>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highlight w:val="none"/>
                      <w:lang w:val="en-US" w:eastAsia="zh-CN"/>
                    </w:rPr>
                    <w:t>废甲醇桶</w:t>
                  </w:r>
                </w:p>
              </w:tc>
              <w:tc>
                <w:tcPr>
                  <w:tcW w:w="432" w:type="pct"/>
                  <w:vMerge w:val="restart"/>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sz w:val="21"/>
                      <w:szCs w:val="21"/>
                      <w:highlight w:val="none"/>
                      <w:lang w:val="en-US" w:eastAsia="zh-CN"/>
                    </w:rPr>
                    <w:t>原料包装</w:t>
                  </w:r>
                </w:p>
              </w:tc>
              <w:tc>
                <w:tcPr>
                  <w:tcW w:w="419"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p>
              </w:tc>
              <w:tc>
                <w:tcPr>
                  <w:tcW w:w="53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rPr>
                    <w:t>HW49</w:t>
                  </w:r>
                </w:p>
              </w:tc>
              <w:tc>
                <w:tcPr>
                  <w:tcW w:w="61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rPr>
                    <w:t>900-041-49</w:t>
                  </w:r>
                </w:p>
              </w:tc>
              <w:tc>
                <w:tcPr>
                  <w:tcW w:w="1040" w:type="dxa"/>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highlight w:val="none"/>
                      <w:lang w:val="en-US" w:eastAsia="zh-CN"/>
                    </w:rPr>
                    <w:t>0.1</w:t>
                  </w:r>
                </w:p>
              </w:tc>
              <w:tc>
                <w:tcPr>
                  <w:tcW w:w="615"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921"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8</w:t>
                  </w:r>
                </w:p>
              </w:tc>
              <w:tc>
                <w:tcPr>
                  <w:tcW w:w="418" w:type="pct"/>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废油桶</w:t>
                  </w:r>
                </w:p>
              </w:tc>
              <w:tc>
                <w:tcPr>
                  <w:tcW w:w="432" w:type="pct"/>
                  <w:vMerge w:val="continue"/>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kern w:val="0"/>
                      <w:sz w:val="21"/>
                      <w:szCs w:val="21"/>
                      <w:highlight w:val="none"/>
                      <w:lang w:val="en-US" w:eastAsia="zh-CN" w:bidi="ar"/>
                    </w:rPr>
                  </w:pPr>
                </w:p>
              </w:tc>
              <w:tc>
                <w:tcPr>
                  <w:tcW w:w="419"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p>
              </w:tc>
              <w:tc>
                <w:tcPr>
                  <w:tcW w:w="53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rPr>
                    <w:t>HW08</w:t>
                  </w:r>
                </w:p>
              </w:tc>
              <w:tc>
                <w:tcPr>
                  <w:tcW w:w="61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rPr>
                    <w:t>900-249-08</w:t>
                  </w:r>
                </w:p>
              </w:tc>
              <w:tc>
                <w:tcPr>
                  <w:tcW w:w="626" w:type="pct"/>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0.04</w:t>
                  </w:r>
                </w:p>
              </w:tc>
              <w:tc>
                <w:tcPr>
                  <w:tcW w:w="615"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921"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w:t>
                  </w:r>
                </w:p>
              </w:tc>
              <w:tc>
                <w:tcPr>
                  <w:tcW w:w="418" w:type="pct"/>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highlight w:val="none"/>
                      <w:lang w:val="en-US" w:eastAsia="zh-CN"/>
                    </w:rPr>
                    <w:t>废抹布、手套</w:t>
                  </w:r>
                </w:p>
              </w:tc>
              <w:tc>
                <w:tcPr>
                  <w:tcW w:w="432" w:type="pct"/>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sz w:val="21"/>
                      <w:szCs w:val="21"/>
                      <w:highlight w:val="none"/>
                      <w:lang w:val="en-US" w:eastAsia="zh-CN"/>
                    </w:rPr>
                    <w:t>生产</w:t>
                  </w:r>
                </w:p>
              </w:tc>
              <w:tc>
                <w:tcPr>
                  <w:tcW w:w="419"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p>
              </w:tc>
              <w:tc>
                <w:tcPr>
                  <w:tcW w:w="53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rPr>
                    <w:t>HW49</w:t>
                  </w:r>
                </w:p>
              </w:tc>
              <w:tc>
                <w:tcPr>
                  <w:tcW w:w="61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rPr>
                    <w:t>900-041-49</w:t>
                  </w:r>
                </w:p>
              </w:tc>
              <w:tc>
                <w:tcPr>
                  <w:tcW w:w="1040" w:type="dxa"/>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highlight w:val="none"/>
                      <w:lang w:val="en-US" w:eastAsia="zh-CN"/>
                    </w:rPr>
                    <w:t>0.02</w:t>
                  </w:r>
                </w:p>
              </w:tc>
              <w:tc>
                <w:tcPr>
                  <w:tcW w:w="615"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921"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c>
                <w:tcPr>
                  <w:tcW w:w="418" w:type="pct"/>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废油渣</w:t>
                  </w:r>
                </w:p>
              </w:tc>
              <w:tc>
                <w:tcPr>
                  <w:tcW w:w="432" w:type="pct"/>
                  <w:tcBorders>
                    <w:tl2br w:val="nil"/>
                    <w:tr2bl w:val="nil"/>
                  </w:tcBorders>
                  <w:shd w:val="clear" w:color="auto" w:fill="auto"/>
                  <w:vAlign w:val="center"/>
                </w:tcPr>
                <w:p>
                  <w:pPr>
                    <w:pStyle w:val="40"/>
                    <w:snapToGrid w:val="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生产</w:t>
                  </w:r>
                </w:p>
              </w:tc>
              <w:tc>
                <w:tcPr>
                  <w:tcW w:w="419"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p>
              </w:tc>
              <w:tc>
                <w:tcPr>
                  <w:tcW w:w="53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kern w:val="0"/>
                      <w:sz w:val="21"/>
                      <w:szCs w:val="21"/>
                      <w:highlight w:val="none"/>
                      <w:lang w:val="en-US" w:eastAsia="zh-CN"/>
                    </w:rPr>
                    <w:t>HW08</w:t>
                  </w:r>
                </w:p>
              </w:tc>
              <w:tc>
                <w:tcPr>
                  <w:tcW w:w="61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auto"/>
                      <w:kern w:val="0"/>
                      <w:sz w:val="21"/>
                      <w:szCs w:val="21"/>
                      <w:highlight w:val="none"/>
                      <w:lang w:val="en-US" w:eastAsia="zh-CN"/>
                    </w:rPr>
                    <w:t>900-203-08</w:t>
                  </w:r>
                </w:p>
              </w:tc>
              <w:tc>
                <w:tcPr>
                  <w:tcW w:w="1040" w:type="dxa"/>
                  <w:tcBorders>
                    <w:tl2br w:val="nil"/>
                    <w:tr2bl w:val="nil"/>
                  </w:tcBorders>
                  <w:shd w:val="clear" w:color="auto" w:fill="auto"/>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highlight w:val="none"/>
                      <w:lang w:val="en-US" w:eastAsia="zh-CN"/>
                    </w:rPr>
                    <w:t>0.9t/3a</w:t>
                  </w:r>
                </w:p>
              </w:tc>
              <w:tc>
                <w:tcPr>
                  <w:tcW w:w="615"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921" w:type="pct"/>
                  <w:vMerge w:val="continue"/>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仿宋" w:cs="Times New Roman"/>
                      <w:color w:val="auto"/>
                      <w:sz w:val="21"/>
                      <w:szCs w:val="21"/>
                      <w:highlight w:val="none"/>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根据建设项目周边有资质的危险废物处置单位的分布情况、处置能力、资质类别，本项目产生废</w:t>
            </w:r>
            <w:r>
              <w:rPr>
                <w:rFonts w:hint="eastAsia" w:eastAsia="仿宋" w:cs="Times New Roman"/>
                <w:kern w:val="0"/>
                <w:sz w:val="24"/>
                <w:szCs w:val="24"/>
                <w:lang w:val="en-US" w:eastAsia="zh-CN"/>
              </w:rPr>
              <w:t>油</w:t>
            </w:r>
            <w:r>
              <w:rPr>
                <w:rFonts w:hint="default" w:ascii="Times New Roman" w:hAnsi="Times New Roman" w:eastAsia="仿宋" w:cs="Times New Roman"/>
                <w:kern w:val="0"/>
                <w:sz w:val="24"/>
                <w:szCs w:val="24"/>
                <w:lang w:val="en-US" w:eastAsia="zh-CN"/>
              </w:rPr>
              <w:t>桶、废活性炭</w:t>
            </w:r>
            <w:r>
              <w:rPr>
                <w:rFonts w:hint="eastAsia" w:eastAsia="仿宋" w:cs="Times New Roman"/>
                <w:kern w:val="0"/>
                <w:sz w:val="24"/>
                <w:szCs w:val="24"/>
                <w:lang w:val="en-US" w:eastAsia="zh-CN"/>
              </w:rPr>
              <w:t>、废甲醇桶、废抹布手套、废油渣</w:t>
            </w:r>
            <w:r>
              <w:rPr>
                <w:rFonts w:hint="default" w:ascii="Times New Roman" w:hAnsi="Times New Roman" w:eastAsia="仿宋" w:cs="Times New Roman"/>
                <w:kern w:val="0"/>
                <w:sz w:val="24"/>
                <w:szCs w:val="24"/>
                <w:lang w:val="en-US" w:eastAsia="zh-CN"/>
              </w:rPr>
              <w:t>建议委托光大升达固废处置（常州）有限公司处置。光大升达固废处置（常州）有限公司已取得危险废物经营许可证，经营范围：回转窑焚烧处置医药废物（HW02）、废药物药品（HW03）、农药废物（HW04）、废有机溶剂与含有机溶剂废物（HW06）、热处理含氰废物（HW07）、废矿物油与含矿物油废物（HW08）、油/水、烃/水混合物或乳化液（HW09）、精（蒸）馏残渣（HW11）、染料涂料废物（HW12）、有机树脂类废物（HW13）、新化学物质废物（HW14）、感光材料废物（HW16）、表面处理废物（HW17）、含金属羰基化合物废物（HW19）、废酸（HW34）、废碱（HW35）、有机磷化合物废物（HW37）、有机氰化物废物（HW38）、含酚废物（HW39）、含醚废物（HW40）、含有机卤化物废物（HW45）、其他废物（HW49，仅限900-039-49、900-041-49、900-042-49、900-046-49、900-047-49、900-999-49）、废催化剂（HW50，仅限261-151-50、261-183-50、263-013-50、275-009-50、276-006-50）共计30000吨/年。本项目废</w:t>
            </w:r>
            <w:r>
              <w:rPr>
                <w:rFonts w:hint="eastAsia" w:eastAsia="仿宋" w:cs="Times New Roman"/>
                <w:kern w:val="0"/>
                <w:sz w:val="24"/>
                <w:szCs w:val="24"/>
                <w:lang w:val="en-US" w:eastAsia="zh-CN"/>
              </w:rPr>
              <w:t>油</w:t>
            </w:r>
            <w:r>
              <w:rPr>
                <w:rFonts w:hint="default" w:ascii="Times New Roman" w:hAnsi="Times New Roman" w:eastAsia="仿宋" w:cs="Times New Roman"/>
                <w:kern w:val="0"/>
                <w:sz w:val="24"/>
                <w:szCs w:val="24"/>
                <w:lang w:val="en-US" w:eastAsia="zh-CN"/>
              </w:rPr>
              <w:t>桶、废活性炭</w:t>
            </w:r>
            <w:r>
              <w:rPr>
                <w:rFonts w:hint="eastAsia" w:eastAsia="仿宋" w:cs="Times New Roman"/>
                <w:kern w:val="0"/>
                <w:sz w:val="24"/>
                <w:szCs w:val="24"/>
                <w:lang w:val="en-US" w:eastAsia="zh-CN"/>
              </w:rPr>
              <w:t>、废甲醇桶、废抹布手套、废油渣</w:t>
            </w:r>
            <w:r>
              <w:rPr>
                <w:rFonts w:hint="default" w:ascii="Times New Roman" w:hAnsi="Times New Roman" w:eastAsia="仿宋" w:cs="Times New Roman"/>
                <w:kern w:val="0"/>
                <w:sz w:val="24"/>
                <w:szCs w:val="24"/>
                <w:lang w:val="en-US" w:eastAsia="zh-CN"/>
              </w:rPr>
              <w:t>等危废共计</w:t>
            </w:r>
            <w:r>
              <w:rPr>
                <w:rFonts w:hint="eastAsia" w:eastAsia="仿宋" w:cs="Times New Roman"/>
                <w:kern w:val="0"/>
                <w:sz w:val="24"/>
                <w:szCs w:val="24"/>
                <w:lang w:val="en-US" w:eastAsia="zh-CN"/>
              </w:rPr>
              <w:t>5.708</w:t>
            </w:r>
            <w:r>
              <w:rPr>
                <w:rFonts w:hint="default" w:ascii="Times New Roman" w:hAnsi="Times New Roman" w:eastAsia="仿宋" w:cs="Times New Roman"/>
                <w:kern w:val="0"/>
                <w:sz w:val="24"/>
                <w:szCs w:val="24"/>
                <w:lang w:val="en-US" w:eastAsia="zh-CN"/>
              </w:rPr>
              <w:t>t/a，</w:t>
            </w:r>
            <w:r>
              <w:rPr>
                <w:rFonts w:hint="eastAsia" w:eastAsia="仿宋" w:cs="Times New Roman"/>
                <w:kern w:val="0"/>
                <w:sz w:val="24"/>
                <w:szCs w:val="24"/>
                <w:lang w:val="en-US" w:eastAsia="zh-CN"/>
              </w:rPr>
              <w:t>均</w:t>
            </w:r>
            <w:r>
              <w:rPr>
                <w:rFonts w:hint="default" w:ascii="Times New Roman" w:hAnsi="Times New Roman" w:eastAsia="仿宋" w:cs="Times New Roman"/>
                <w:kern w:val="0"/>
                <w:sz w:val="24"/>
                <w:szCs w:val="24"/>
                <w:lang w:val="en-US" w:eastAsia="zh-CN"/>
              </w:rPr>
              <w:t>在光大升达固废处置（常州）有限公司处置范围内，因此，光大升达固废处置（常州）有限公司有能力处理以上危废。</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废UV灯管（HW29）拟委托常州市锦云工业废弃物处理有限公司处理，常州市锦云工业废弃物处理有限公司位于常州市新北区春江镇花港路9号，已取得危险废物经营许可证，经营范围包括：处置、利用废矿物油（HW08、251-001-08、900-199-08、900-200-08、900-201-08、900-203-08、900-204-08、900-209-08、900-210-08、900-214-08、900-216-08、900-217-08，900-218-08、900-219-08、900-220-08、900-249-08)5000吨/年，废油泥(HW08、071-001-08、071-002-08，072-001-08、251-002-08、251-003-08、251-006-08、900-199-08、900-200-08、900-210-08、900-213-08、900-221-08、900-222-08、900-249-08)5000吨/年，含油废白土渣(HW08、251-012-08、900-213-08)1000吨/年，含油废磨削灰、含油废砂轮灰(HW08、900-200-08或HW17，336-064-17) 6000吨/年，感光材料废物(HW16，266-009-16、231-001-16、231-002-16、863-001-16、749-001-16、900-019-16)1000吨/年、200L以下小容积废油漆桶(HW49、900-041-49)2000吨/年；处置含有机溶剂水洗液(HW06，900-401-06、900-402-06、900-403-06 900-404-06)5000吨/年，废乳化液(HW09，900-005-09、900-006-09、900-007-09)10000吨/年，喷涂废液(HW12，900-250-12、900-251-12、900-252-12、900-253-12、900-254-12、900-256-12、264-013-12)2000吨/年，酯化废液、清洗废液(HW13，265-102-13、265-103-13) 2000吨/年，金属表面处理含油废液(HW17，336-064-17、336-066-17)3000吨/年，收集废含汞荧光灯管(HW29，900-023-29)30吨/年。本项目废UV灯管（HW29，900-023-29）0.0</w:t>
            </w:r>
            <w:r>
              <w:rPr>
                <w:rFonts w:hint="eastAsia" w:eastAsia="仿宋" w:cs="Times New Roman"/>
                <w:kern w:val="0"/>
                <w:sz w:val="24"/>
                <w:szCs w:val="24"/>
                <w:lang w:val="en-US" w:eastAsia="zh-CN"/>
              </w:rPr>
              <w:t>05</w:t>
            </w:r>
            <w:r>
              <w:rPr>
                <w:rFonts w:hint="eastAsia" w:ascii="Times New Roman" w:hAnsi="Times New Roman" w:eastAsia="仿宋" w:cs="Times New Roman"/>
                <w:kern w:val="0"/>
                <w:sz w:val="24"/>
                <w:szCs w:val="24"/>
                <w:lang w:val="en-US" w:eastAsia="zh-CN"/>
              </w:rPr>
              <w:t>t/a，在常州市锦云工业废弃物处理有限公司处置范围内，因此，常州市锦云工业废弃物处理有限公司有能力处理以上危废。</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cs="宋体"/>
                <w:bCs/>
                <w:spacing w:val="-10"/>
                <w:szCs w:val="21"/>
                <w:lang w:val="en-US" w:eastAsia="zh-CN"/>
              </w:rPr>
            </w:pPr>
            <w:r>
              <w:rPr>
                <w:rFonts w:hint="eastAsia" w:ascii="Times New Roman" w:hAnsi="Times New Roman" w:eastAsia="仿宋" w:cs="Times New Roman"/>
                <w:kern w:val="0"/>
                <w:sz w:val="24"/>
                <w:szCs w:val="24"/>
                <w:lang w:val="en-US" w:eastAsia="zh-CN"/>
              </w:rPr>
              <w:t>故</w:t>
            </w:r>
            <w:r>
              <w:rPr>
                <w:rFonts w:hint="eastAsia" w:eastAsia="仿宋" w:cs="Times New Roman"/>
                <w:kern w:val="0"/>
                <w:sz w:val="24"/>
                <w:szCs w:val="24"/>
                <w:lang w:val="en-US" w:eastAsia="zh-CN"/>
              </w:rPr>
              <w:t>本项目</w:t>
            </w:r>
            <w:r>
              <w:rPr>
                <w:rFonts w:hint="eastAsia" w:ascii="Times New Roman" w:hAnsi="Times New Roman" w:eastAsia="仿宋" w:cs="Times New Roman"/>
                <w:kern w:val="0"/>
                <w:sz w:val="24"/>
                <w:szCs w:val="24"/>
                <w:lang w:val="en-US" w:eastAsia="zh-CN"/>
              </w:rPr>
              <w:t>危废均可得到合理处置。</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（四）环境管理要求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380" w:firstLineChars="200"/>
              <w:jc w:val="both"/>
              <w:textAlignment w:val="auto"/>
              <w:rPr>
                <w:rFonts w:hint="eastAsia" w:ascii="Times New Roman" w:hAnsi="Times New Roman" w:eastAsia="仿宋" w:cs="Times New Roman"/>
                <w:kern w:val="0"/>
                <w:sz w:val="24"/>
                <w:szCs w:val="24"/>
                <w:lang w:val="en-US" w:eastAsia="zh-CN"/>
              </w:rPr>
            </w:pPr>
            <w:r>
              <w:rPr>
                <w:rFonts w:hint="eastAsia" w:ascii="宋体" w:hAnsi="宋体" w:cs="宋体"/>
                <w:bCs/>
                <w:spacing w:val="-10"/>
                <w:szCs w:val="21"/>
                <w:lang w:val="en-US" w:eastAsia="zh-CN"/>
              </w:rPr>
              <w:t>（</w:t>
            </w:r>
            <w:r>
              <w:rPr>
                <w:rFonts w:hint="eastAsia" w:ascii="Times New Roman" w:hAnsi="Times New Roman" w:eastAsia="仿宋" w:cs="Times New Roman"/>
                <w:kern w:val="0"/>
                <w:sz w:val="24"/>
                <w:szCs w:val="24"/>
                <w:lang w:val="en-US" w:eastAsia="zh-CN"/>
              </w:rPr>
              <w:t>1）根据《省生态环境厅关于进一步加强危险废物污染防治工作的实施意见》（苏环办[2019]327号）要求：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①强化危废申报登记。应按规定申报危废产生、贮存、转移、利用处置等信息，制定危险废物年度管理计划，并在“江苏省危险废物动态管理信息系统”中备案。管理计划如需调整变更的，应重新在系统中申请备案。应结合自身实际，建立危废台账，如实记载危险废物种类、数量、性质、产生环节、流向、贮存、利用处理等信息，并在“江苏省危险废物动态管理信息系统”中进行如实规范申报，申报数据应与台账、管理计划数据相一致。</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②落实信息公开制度。按照要求在厂门口显著位置设置危险废物信息公开栏，主动公开危险废物产生、利用处置等情况；有官方网站的，在官网同时公开相关信息。危险固废（常温常压下不水解、不挥发、不相互反应）均使用包装材料包装后分类堆放于场内，并粘贴符合要求的标签。</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（2）一般固废贮运要求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根据</w:t>
            </w:r>
            <w:r>
              <w:rPr>
                <w:rFonts w:hint="eastAsia" w:eastAsia="仿宋" w:cs="Times New Roman"/>
                <w:kern w:val="0"/>
                <w:sz w:val="24"/>
                <w:szCs w:val="24"/>
                <w:lang w:val="en-US" w:eastAsia="zh-CN"/>
              </w:rPr>
              <w:t>《</w:t>
            </w:r>
            <w:r>
              <w:rPr>
                <w:rFonts w:hint="default" w:ascii="Times New Roman" w:hAnsi="Times New Roman" w:eastAsia="仿宋" w:cs="Times New Roman"/>
                <w:kern w:val="0"/>
                <w:sz w:val="24"/>
                <w:szCs w:val="24"/>
                <w:lang w:val="en-US" w:eastAsia="zh-CN"/>
              </w:rPr>
              <w:t>一般工业固体废物贮存和填埋污染控制标准》（GB18599-2020）</w:t>
            </w:r>
            <w:r>
              <w:rPr>
                <w:rFonts w:hint="eastAsia" w:ascii="Times New Roman" w:hAnsi="Times New Roman" w:eastAsia="仿宋" w:cs="Times New Roman"/>
                <w:kern w:val="0"/>
                <w:sz w:val="24"/>
                <w:szCs w:val="24"/>
                <w:lang w:val="en-US" w:eastAsia="zh-CN"/>
              </w:rPr>
              <w:t>，一般工业固体废物贮存、处置场运行管理要求如下：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A 一般工业固体废物贮存、处置场，禁止危险废物和生活垃圾混入。</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B 贮存、处置场使用单位，应建立检查维护制度。定期检查维护堤、坝、挡土墙、导流渠等设施，发现有损坏可能或异常，应及时采取必要措施，以保障正常运行。</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（3）危险废物相关要求</w:t>
            </w:r>
          </w:p>
          <w:p>
            <w:pPr>
              <w:keepNext w:val="0"/>
              <w:keepLines w:val="0"/>
              <w:pageBreakBefore w:val="0"/>
              <w:widowControl/>
              <w:numPr>
                <w:ilvl w:val="-1"/>
                <w:numId w:val="0"/>
              </w:numPr>
              <w:kinsoku/>
              <w:wordWrap/>
              <w:overflowPunct/>
              <w:topLinePunct w:val="0"/>
              <w:autoSpaceDE w:val="0"/>
              <w:autoSpaceDN w:val="0"/>
              <w:bidi w:val="0"/>
              <w:adjustRightInd/>
              <w:snapToGrid/>
              <w:spacing w:line="440" w:lineRule="exact"/>
              <w:ind w:firstLine="480" w:firstLineChars="200"/>
              <w:jc w:val="left"/>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A 本项目</w:t>
            </w:r>
            <w:r>
              <w:rPr>
                <w:rFonts w:hint="eastAsia" w:eastAsia="仿宋" w:cs="Times New Roman"/>
                <w:kern w:val="0"/>
                <w:sz w:val="24"/>
                <w:szCs w:val="24"/>
                <w:lang w:val="en-US" w:eastAsia="zh-CN"/>
              </w:rPr>
              <w:t>新建1座5m</w:t>
            </w:r>
            <w:r>
              <w:rPr>
                <w:rFonts w:hint="eastAsia" w:eastAsia="仿宋" w:cs="Times New Roman"/>
                <w:kern w:val="0"/>
                <w:sz w:val="24"/>
                <w:szCs w:val="24"/>
                <w:vertAlign w:val="superscript"/>
                <w:lang w:val="en-US" w:eastAsia="zh-CN"/>
              </w:rPr>
              <w:t>2</w:t>
            </w:r>
            <w:r>
              <w:rPr>
                <w:rFonts w:hint="eastAsia" w:eastAsia="仿宋" w:cs="Times New Roman"/>
                <w:kern w:val="0"/>
                <w:sz w:val="24"/>
                <w:szCs w:val="24"/>
                <w:lang w:val="en-US" w:eastAsia="zh-CN"/>
              </w:rPr>
              <w:t>的</w:t>
            </w:r>
            <w:r>
              <w:rPr>
                <w:rFonts w:hint="default" w:ascii="Times New Roman" w:hAnsi="Times New Roman" w:eastAsia="仿宋" w:cs="Times New Roman"/>
                <w:kern w:val="0"/>
                <w:sz w:val="24"/>
                <w:szCs w:val="24"/>
                <w:lang w:val="en-US" w:eastAsia="zh-CN"/>
              </w:rPr>
              <w:t>危废仓库，对危险废物进行分类贮存。危废仓库已对照《省生态环境厅关于进一步加强危险废物污染防治工作的实施意见》[2019]327 号文中要求建造，建有堵截泄漏的裙脚，地面与裙脚用坚固防渗的材料建造，有防风、防晒、防雨设施。硬化地面耐腐蚀，地面无裂隙；不相容的危险废物堆放区有隔离间隔断，装载液体、半固体危险废物的容器内留有足够空间，容器顶部与液体表面之间保留 100 毫米以上的空间。</w:t>
            </w:r>
            <w:r>
              <w:rPr>
                <w:rFonts w:hint="eastAsia" w:eastAsia="仿宋"/>
                <w:kern w:val="0"/>
                <w:sz w:val="24"/>
              </w:rPr>
              <w:t>设置</w:t>
            </w:r>
            <w:r>
              <w:rPr>
                <w:rFonts w:hint="eastAsia" w:eastAsia="仿宋"/>
                <w:kern w:val="0"/>
                <w:sz w:val="24"/>
                <w:lang w:val="en-US" w:eastAsia="zh-CN"/>
              </w:rPr>
              <w:t>规范化识别</w:t>
            </w:r>
            <w:r>
              <w:rPr>
                <w:rFonts w:hint="eastAsia" w:eastAsia="仿宋"/>
                <w:kern w:val="0"/>
                <w:sz w:val="24"/>
              </w:rPr>
              <w:t>标志，配备通讯设备、照明设施和消防设施</w:t>
            </w:r>
            <w:r>
              <w:rPr>
                <w:rFonts w:hint="eastAsia" w:eastAsia="仿宋"/>
                <w:kern w:val="0"/>
                <w:sz w:val="24"/>
                <w:lang w:eastAsia="zh-CN"/>
              </w:rPr>
              <w:t>；</w:t>
            </w:r>
            <w:r>
              <w:rPr>
                <w:rFonts w:hint="eastAsia" w:eastAsia="仿宋"/>
                <w:kern w:val="0"/>
                <w:sz w:val="24"/>
              </w:rPr>
              <w:t>在出入口、设施内部、危险废物运输车辆通道等关键位置按照危险废物贮存设施视频监控布设要求设置视频监控,并与中控室联网。</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B 根据《危险废物贮存污染控制标准》（GB18597-2001）及《关于发布一般工业固体废物贮存、处置场污染控制标准（GB18599-2001）等 3 项国家污染物控制标准修改单的公告》（环保部公告 2013 年第 36 号），危险废物贮存容器要求如下：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①应当使用符合标准的容器盛装危险废物；</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②盛装危险废物的容器及材质要满足相应的强度要求；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③盛装危险废物的容器必须完好无损；</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④盛装危险废物的容器材质和衬里要与危险废物相容（不相互反应）；</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⑤液体危险废物可注入开孔直径不超过 70 毫米并有放气孔的桶中。</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C 危险废物处理过程要求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①项目在危险废物的转移时，按有关规定签订危险废物转移单，并需得到有关环境行政主管部门的批准。同时，在危险固废转移前，要设立专门场地严格按要求保存，不得随意堆放，防止对周围环境造成影响。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②处置单位应严格按照有关处置规定对废物进行处置，不得产生二次污染。由上可见，项目的固体废物得到了妥善的处置。但本项目危险固废在厂内暂存期间如管理不善，发生流失、渗漏，易造成土壤及水环境污染。因此，固体废物在厂内暂存期间应根据《江苏省危险固废管理暂行办法》加强管理，堆放场地应防渗、防流失措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D 危险废物运输时的中转、装卸过程应遵守以下技术要求：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卸货区的工作人员应熟悉废物的危险特性，并配备适当的个人防护装备，装卸剧毒废物应配备特殊的防护装备。</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装卸区应配备必要的消防设备和设施，并设置明显的指示标志。</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危险废物装卸区应设置隔离设施，液态废物卸载区应设置收集槽和缓冲罐。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五、土壤及地下水环境</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default" w:eastAsia="仿宋" w:cs="Times New Roman"/>
                <w:b w:val="0"/>
                <w:bCs w:val="0"/>
                <w:kern w:val="0"/>
                <w:sz w:val="24"/>
                <w:szCs w:val="24"/>
                <w:lang w:val="en-US" w:eastAsia="zh-CN"/>
              </w:rPr>
            </w:pPr>
            <w:r>
              <w:rPr>
                <w:rFonts w:hint="eastAsia" w:eastAsia="仿宋" w:cs="Times New Roman"/>
                <w:b w:val="0"/>
                <w:bCs w:val="0"/>
                <w:kern w:val="0"/>
                <w:sz w:val="24"/>
                <w:szCs w:val="24"/>
                <w:lang w:val="en-US" w:eastAsia="zh-CN"/>
              </w:rPr>
              <w:t>1、土壤</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eastAsia" w:eastAsia="仿宋" w:cs="Times New Roman"/>
                <w:b w:val="0"/>
                <w:bCs w:val="0"/>
                <w:kern w:val="0"/>
                <w:sz w:val="24"/>
                <w:szCs w:val="24"/>
                <w:lang w:val="en-US" w:eastAsia="zh-CN"/>
              </w:rPr>
            </w:pPr>
            <w:r>
              <w:rPr>
                <w:rFonts w:hint="eastAsia" w:eastAsia="仿宋" w:cs="Times New Roman"/>
                <w:b w:val="0"/>
                <w:bCs w:val="0"/>
                <w:kern w:val="0"/>
                <w:sz w:val="24"/>
                <w:szCs w:val="24"/>
                <w:lang w:val="en-US" w:eastAsia="zh-CN"/>
              </w:rPr>
              <w:t>（1）项目类别</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left"/>
              <w:textAlignment w:val="auto"/>
              <w:rPr>
                <w:rFonts w:hint="default" w:eastAsia="仿宋" w:cs="Times New Roman"/>
                <w:b/>
                <w:bCs/>
                <w:kern w:val="0"/>
                <w:sz w:val="24"/>
                <w:szCs w:val="24"/>
                <w:lang w:val="en-US" w:eastAsia="zh-CN"/>
              </w:rPr>
            </w:pPr>
            <w:r>
              <w:rPr>
                <w:rFonts w:hint="eastAsia" w:eastAsia="仿宋" w:cs="Times New Roman"/>
                <w:b w:val="0"/>
                <w:bCs w:val="0"/>
                <w:kern w:val="0"/>
                <w:sz w:val="24"/>
                <w:szCs w:val="24"/>
                <w:lang w:val="en-US" w:eastAsia="zh-CN"/>
              </w:rPr>
              <w:t>本项目为淬火件加工项目，根据《环境影响评价技术导则土壤环境》（HJ964-2018）附录 A，属于“金属制品表面处理及热处理加工的”建设项目为Ⅰ类项目，指的是采用化学处理工艺、使用化学溶剂且涉及重金属的建设项目，本项目不符合此定义，因此本项目为Ⅲ类项目。且项目周边50m内没有农田等敏感点，属于不敏感，故无需开展土壤影响评价。</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2" w:firstLineChars="200"/>
              <w:jc w:val="center"/>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b/>
                <w:bCs/>
                <w:kern w:val="0"/>
                <w:sz w:val="24"/>
                <w:szCs w:val="24"/>
                <w:lang w:val="en-US" w:eastAsia="zh-CN"/>
              </w:rPr>
              <w:t>表</w:t>
            </w:r>
            <w:r>
              <w:rPr>
                <w:rFonts w:hint="eastAsia" w:ascii="Times New Roman" w:hAnsi="Times New Roman" w:eastAsia="仿宋" w:cs="Times New Roman"/>
                <w:b/>
                <w:bCs/>
                <w:kern w:val="0"/>
                <w:sz w:val="24"/>
                <w:szCs w:val="24"/>
                <w:lang w:val="en-US" w:eastAsia="zh-CN"/>
              </w:rPr>
              <w:t>4</w:t>
            </w:r>
            <w:r>
              <w:rPr>
                <w:rFonts w:hint="default" w:ascii="Times New Roman" w:hAnsi="Times New Roman" w:eastAsia="仿宋" w:cs="Times New Roman"/>
                <w:b/>
                <w:bCs/>
                <w:kern w:val="0"/>
                <w:sz w:val="24"/>
                <w:szCs w:val="24"/>
                <w:lang w:val="en-US" w:eastAsia="zh-CN"/>
              </w:rPr>
              <w:t>-</w:t>
            </w:r>
            <w:r>
              <w:rPr>
                <w:rFonts w:hint="eastAsia" w:eastAsia="仿宋" w:cs="Times New Roman"/>
                <w:b/>
                <w:bCs/>
                <w:kern w:val="0"/>
                <w:sz w:val="24"/>
                <w:szCs w:val="24"/>
                <w:lang w:val="en-US" w:eastAsia="zh-CN"/>
              </w:rPr>
              <w:t>33</w:t>
            </w:r>
            <w:r>
              <w:rPr>
                <w:rFonts w:hint="default" w:ascii="Times New Roman" w:hAnsi="Times New Roman" w:eastAsia="仿宋" w:cs="Times New Roman"/>
                <w:b/>
                <w:bCs/>
                <w:kern w:val="0"/>
                <w:sz w:val="24"/>
                <w:szCs w:val="24"/>
                <w:lang w:val="en-US" w:eastAsia="zh-CN"/>
              </w:rPr>
              <w:t xml:space="preserve"> 建设项目土壤环境影响类型与影响途径表</w:t>
            </w:r>
          </w:p>
          <w:tbl>
            <w:tblPr>
              <w:tblStyle w:val="18"/>
              <w:tblW w:w="8419"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683"/>
              <w:gridCol w:w="1683"/>
              <w:gridCol w:w="1683"/>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83" w:type="dxa"/>
                  <w:vMerge w:val="restar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不同时段</w:t>
                  </w:r>
                </w:p>
              </w:tc>
              <w:tc>
                <w:tcPr>
                  <w:tcW w:w="6736" w:type="dxa"/>
                  <w:gridSpan w:val="4"/>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83" w:type="dxa"/>
                  <w:vMerge w:val="continue"/>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大气沉降</w:t>
                  </w:r>
                </w:p>
              </w:tc>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地面漫流</w:t>
                  </w:r>
                </w:p>
              </w:tc>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垂直入渗</w:t>
                  </w:r>
                </w:p>
              </w:tc>
              <w:tc>
                <w:tcPr>
                  <w:tcW w:w="1687"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建设期</w:t>
                  </w:r>
                </w:p>
              </w:tc>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687"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运营期</w:t>
                  </w:r>
                </w:p>
              </w:tc>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687"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服务期满后</w:t>
                  </w:r>
                </w:p>
              </w:tc>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683"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687" w:type="dxa"/>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bl>
          <w:p>
            <w:pPr>
              <w:autoSpaceDE w:val="0"/>
              <w:autoSpaceDN w:val="0"/>
              <w:adjustRightInd w:val="0"/>
              <w:ind w:firstLine="482"/>
              <w:jc w:val="center"/>
              <w:rPr>
                <w:rFonts w:hint="default" w:eastAsia="宋体" w:cs="Times New Roman"/>
                <w:b/>
                <w:bCs/>
                <w:color w:val="auto"/>
                <w:szCs w:val="24"/>
                <w:highlight w:val="none"/>
              </w:rPr>
            </w:pPr>
            <w:r>
              <w:rPr>
                <w:rFonts w:hint="eastAsia" w:ascii="Times New Roman" w:hAnsi="Times New Roman" w:eastAsia="仿宋" w:cs="Times New Roman"/>
                <w:b/>
                <w:bCs/>
                <w:kern w:val="0"/>
                <w:sz w:val="24"/>
                <w:szCs w:val="24"/>
                <w:lang w:val="en-US" w:eastAsia="zh-CN"/>
              </w:rPr>
              <w:t>4-</w:t>
            </w:r>
            <w:r>
              <w:rPr>
                <w:rFonts w:hint="eastAsia" w:eastAsia="仿宋" w:cs="Times New Roman"/>
                <w:b/>
                <w:bCs/>
                <w:kern w:val="0"/>
                <w:sz w:val="24"/>
                <w:szCs w:val="24"/>
                <w:lang w:val="en-US" w:eastAsia="zh-CN"/>
              </w:rPr>
              <w:t>34</w:t>
            </w:r>
            <w:r>
              <w:rPr>
                <w:rFonts w:hint="default" w:ascii="Times New Roman" w:hAnsi="Times New Roman" w:eastAsia="仿宋" w:cs="Times New Roman"/>
                <w:b/>
                <w:bCs/>
                <w:kern w:val="0"/>
                <w:sz w:val="24"/>
                <w:szCs w:val="24"/>
                <w:lang w:val="en-US" w:eastAsia="zh-CN"/>
              </w:rPr>
              <w:t xml:space="preserve"> 污染影响型建设项目土壤环境影响源及影响因子识别表</w:t>
            </w:r>
          </w:p>
          <w:tbl>
            <w:tblPr>
              <w:tblStyle w:val="1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414"/>
              <w:gridCol w:w="1414"/>
              <w:gridCol w:w="1414"/>
              <w:gridCol w:w="1414"/>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污染源</w:t>
                  </w: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工艺流程</w:t>
                  </w: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污染途径</w:t>
                  </w: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全部污染物指标</w:t>
                  </w: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特征因子</w:t>
                  </w:r>
                </w:p>
              </w:tc>
              <w:tc>
                <w:tcPr>
                  <w:tcW w:w="832"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生产车间</w:t>
                  </w:r>
                </w:p>
              </w:tc>
              <w:tc>
                <w:tcPr>
                  <w:tcW w:w="833" w:type="pct"/>
                  <w:vMerge w:val="restar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淬火、回火</w:t>
                  </w: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大气沉降</w:t>
                  </w: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非甲烷总烃</w:t>
                  </w: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矿物油</w:t>
                  </w:r>
                </w:p>
              </w:tc>
              <w:tc>
                <w:tcPr>
                  <w:tcW w:w="832"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33" w:type="pct"/>
                  <w:vMerge w:val="continue"/>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地面漫流</w:t>
                  </w: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w:t>
                  </w:r>
                </w:p>
              </w:tc>
              <w:tc>
                <w:tcPr>
                  <w:tcW w:w="832"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33" w:type="pct"/>
                  <w:vMerge w:val="continue"/>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垂直入渗</w:t>
                  </w: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w:t>
                  </w: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832"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33" w:type="pct"/>
                  <w:vMerge w:val="continue"/>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其他</w:t>
                  </w: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833"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832" w:type="pct"/>
                  <w:vAlign w:val="center"/>
                </w:tcPr>
                <w:p>
                  <w:pPr>
                    <w:autoSpaceDE w:val="0"/>
                    <w:autoSpaceDN w:val="0"/>
                    <w:adjustRightIn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本项目对土壤污染影响途径为大气沉降</w:t>
            </w:r>
            <w:r>
              <w:rPr>
                <w:rFonts w:hint="eastAsia" w:ascii="Times New Roman" w:hAnsi="Times New Roman" w:eastAsia="仿宋" w:cs="Times New Roman"/>
                <w:kern w:val="0"/>
                <w:sz w:val="24"/>
                <w:szCs w:val="24"/>
                <w:lang w:val="en-US" w:eastAsia="zh-CN"/>
              </w:rPr>
              <w:t>，正常工况</w:t>
            </w:r>
            <w:r>
              <w:rPr>
                <w:rFonts w:hint="eastAsia" w:eastAsia="仿宋" w:cs="Times New Roman"/>
                <w:kern w:val="0"/>
                <w:sz w:val="24"/>
                <w:szCs w:val="24"/>
                <w:lang w:val="en-US" w:eastAsia="zh-CN"/>
              </w:rPr>
              <w:t>产生的废气非甲烷总烃</w:t>
            </w:r>
            <w:r>
              <w:rPr>
                <w:rFonts w:hint="eastAsia" w:ascii="Times New Roman" w:hAnsi="Times New Roman" w:eastAsia="仿宋" w:cs="Times New Roman"/>
                <w:kern w:val="0"/>
                <w:sz w:val="24"/>
                <w:szCs w:val="24"/>
                <w:lang w:val="en-US" w:eastAsia="zh-CN"/>
              </w:rPr>
              <w:t>排放环境空气中，最后沉降在周围的土壤从而进入土壤环境，从而产生累积影响。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危废仓库等区域均采取防渗处理，在本项目的物料存储区域和土壤环境保护措施均达到设计要求情况下，项目运行对区域土壤环境产生不良影响</w:t>
            </w:r>
            <w:r>
              <w:rPr>
                <w:rFonts w:hint="eastAsia" w:eastAsia="仿宋" w:cs="Times New Roman"/>
                <w:kern w:val="0"/>
                <w:sz w:val="24"/>
                <w:szCs w:val="24"/>
                <w:lang w:val="en-US" w:eastAsia="zh-CN"/>
              </w:rPr>
              <w:t>较小</w:t>
            </w:r>
            <w:r>
              <w:rPr>
                <w:rFonts w:hint="eastAsia" w:ascii="Times New Roman" w:hAnsi="Times New Roman" w:eastAsia="仿宋" w:cs="Times New Roman"/>
                <w:kern w:val="0"/>
                <w:sz w:val="24"/>
                <w:szCs w:val="24"/>
                <w:lang w:val="en-US" w:eastAsia="zh-CN"/>
              </w:rPr>
              <w:t>。</w:t>
            </w:r>
          </w:p>
          <w:p>
            <w:pPr>
              <w:pStyle w:val="2"/>
              <w:spacing w:line="360" w:lineRule="auto"/>
              <w:ind w:firstLine="480" w:firstLineChars="200"/>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2、地下水</w:t>
            </w:r>
          </w:p>
          <w:p>
            <w:pPr>
              <w:pStyle w:val="2"/>
              <w:spacing w:line="360" w:lineRule="auto"/>
              <w:ind w:firstLine="480" w:firstLineChars="200"/>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根据建设项目对地下水环境影响的程度，结合《建设项目环境影响评价分类管理名录》，将建设项目分为四类，详见《环境影响评价技术导则地下水环境》（HJ610-2016）附录A。对照附录A，本项目属“51、表面处理及热处理加工”，编制报告表，地下水环境影响评价项目类别为IV类。</w:t>
            </w:r>
          </w:p>
          <w:p>
            <w:pPr>
              <w:pStyle w:val="2"/>
              <w:spacing w:line="360" w:lineRule="auto"/>
              <w:ind w:firstLine="480" w:firstLineChars="200"/>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本项目不开展地下水环境影响评价。</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jc w:val="both"/>
              <w:textAlignment w:val="auto"/>
              <w:rPr>
                <w:rFonts w:hint="eastAsia" w:ascii="Times New Roman" w:hAnsi="Times New Roman" w:eastAsia="仿宋" w:cs="Times New Roman"/>
                <w:b/>
                <w:bCs/>
                <w:kern w:val="0"/>
                <w:sz w:val="24"/>
                <w:szCs w:val="24"/>
                <w:lang w:val="en-US" w:eastAsia="zh-CN"/>
              </w:rPr>
            </w:pPr>
            <w:r>
              <w:rPr>
                <w:rFonts w:hint="eastAsia" w:ascii="Times New Roman" w:hAnsi="Times New Roman" w:eastAsia="仿宋" w:cs="Times New Roman"/>
                <w:b/>
                <w:bCs/>
                <w:kern w:val="0"/>
                <w:sz w:val="24"/>
                <w:szCs w:val="24"/>
                <w:lang w:val="en-US" w:eastAsia="zh-CN"/>
              </w:rPr>
              <w:t>六、环境风险</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（1）危险物质与临界量比值（Q）</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计算所涉及的每种危险物质在厂界内的最大存在总量与其对应临界量的比值Q。当只涉及一种危险物质时，计算该物质的总量与其临界比值，即为 Q；当存在多种危险物质时则按下式计算物质总量与其临界比值（Q）：</w:t>
            </w:r>
          </w:p>
          <w:p>
            <w:pPr>
              <w:adjustRightInd w:val="0"/>
              <w:snapToGrid w:val="0"/>
              <w:ind w:firstLine="480"/>
              <w:jc w:val="center"/>
              <w:rPr>
                <w:rFonts w:hint="default" w:eastAsia="宋体" w:cs="Times New Roman"/>
                <w:color w:val="auto"/>
                <w:highlight w:val="none"/>
              </w:rPr>
            </w:pPr>
            <w:r>
              <w:rPr>
                <w:rFonts w:hint="default" w:eastAsia="宋体" w:cs="Times New Roman"/>
                <w:color w:val="auto"/>
                <w:position w:val="-30"/>
                <w:highlight w:val="none"/>
              </w:rPr>
              <w:object>
                <v:shape id="_x0000_i1030" o:spt="75" type="#_x0000_t75" style="height:33.8pt;width:102.85pt;" o:ole="t" filled="f" o:preferrelative="t" stroked="f" coordsize="21600,21600">
                  <v:path/>
                  <v:fill on="f" focussize="0,0"/>
                  <v:stroke on="f" joinstyle="miter"/>
                  <v:imagedata r:id="rId20" o:title=""/>
                  <o:lock v:ext="edit" aspectratio="t"/>
                  <w10:wrap type="none"/>
                  <w10:anchorlock/>
                </v:shape>
                <o:OLEObject Type="Embed" ProgID="Equation.3" ShapeID="_x0000_i1030" DrawAspect="Content" ObjectID="_1468075730" r:id="rId19">
                  <o:LockedField>false</o:LockedField>
                </o:OLEObject>
              </w:objec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式中：q1、q2……qn——每种危险物质的最大存在总量，t；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Q1、Q2……Qn——每种危险物质的临界量，t。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当 Q＜1 时，该项目环境风险潜势为 I。</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当 Q≥1 时，将 Q 值划分为（1）1≤Q＜10；（2）10≤Q＜100；（3）Q≥100。</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经对照《建设项目环境风险评价技术导则》（HJ 169-2018），本项目原辅料中风险物质总量和临界量见下表。</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2" w:firstLineChars="200"/>
              <w:jc w:val="center"/>
              <w:textAlignment w:val="auto"/>
              <w:rPr>
                <w:rFonts w:hint="default" w:ascii="Times New Roman" w:hAnsi="Times New Roman" w:eastAsia="仿宋" w:cs="Times New Roman"/>
                <w:b/>
                <w:bCs/>
                <w:kern w:val="0"/>
                <w:sz w:val="24"/>
                <w:szCs w:val="24"/>
                <w:lang w:val="en-US" w:eastAsia="zh-CN"/>
              </w:rPr>
            </w:pPr>
            <w:r>
              <w:rPr>
                <w:rFonts w:hint="default" w:ascii="Times New Roman" w:hAnsi="Times New Roman" w:eastAsia="仿宋" w:cs="Times New Roman"/>
                <w:b/>
                <w:bCs/>
                <w:kern w:val="0"/>
                <w:sz w:val="24"/>
                <w:szCs w:val="24"/>
                <w:lang w:val="en-US" w:eastAsia="zh-CN"/>
              </w:rPr>
              <w:t>表</w:t>
            </w:r>
            <w:r>
              <w:rPr>
                <w:rFonts w:hint="eastAsia" w:eastAsia="仿宋" w:cs="Times New Roman"/>
                <w:b/>
                <w:bCs/>
                <w:kern w:val="0"/>
                <w:sz w:val="24"/>
                <w:szCs w:val="24"/>
                <w:lang w:val="en-US" w:eastAsia="zh-CN"/>
              </w:rPr>
              <w:t>4</w:t>
            </w:r>
            <w:r>
              <w:rPr>
                <w:rFonts w:hint="default" w:ascii="Times New Roman" w:hAnsi="Times New Roman" w:eastAsia="仿宋" w:cs="Times New Roman"/>
                <w:b/>
                <w:bCs/>
                <w:kern w:val="0"/>
                <w:sz w:val="24"/>
                <w:szCs w:val="24"/>
                <w:lang w:val="en-US" w:eastAsia="zh-CN"/>
              </w:rPr>
              <w:t>-</w:t>
            </w:r>
            <w:r>
              <w:rPr>
                <w:rFonts w:hint="eastAsia" w:eastAsia="仿宋" w:cs="Times New Roman"/>
                <w:b/>
                <w:bCs/>
                <w:kern w:val="0"/>
                <w:sz w:val="24"/>
                <w:szCs w:val="24"/>
                <w:lang w:val="en-US" w:eastAsia="zh-CN"/>
              </w:rPr>
              <w:t>35</w:t>
            </w:r>
            <w:r>
              <w:rPr>
                <w:rFonts w:hint="default" w:ascii="Times New Roman" w:hAnsi="Times New Roman" w:eastAsia="仿宋" w:cs="Times New Roman"/>
                <w:b/>
                <w:bCs/>
                <w:kern w:val="0"/>
                <w:sz w:val="24"/>
                <w:szCs w:val="24"/>
                <w:lang w:val="en-US" w:eastAsia="zh-CN"/>
              </w:rPr>
              <w:t xml:space="preserve"> 本项目危险物质与其临界量比值表</w:t>
            </w:r>
          </w:p>
          <w:tbl>
            <w:tblPr>
              <w:tblStyle w:val="17"/>
              <w:tblW w:w="84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4"/>
              <w:gridCol w:w="1320"/>
              <w:gridCol w:w="1584"/>
              <w:gridCol w:w="1085"/>
              <w:gridCol w:w="1847"/>
              <w:gridCol w:w="1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794" w:type="dxa"/>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1320" w:type="dxa"/>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物质名称</w:t>
                  </w:r>
                </w:p>
              </w:tc>
              <w:tc>
                <w:tcPr>
                  <w:tcW w:w="1584" w:type="dxa"/>
                  <w:vAlign w:val="center"/>
                </w:tcPr>
                <w:p>
                  <w:pPr>
                    <w:pStyle w:val="8"/>
                    <w:keepNext w:val="0"/>
                    <w:keepLines w:val="0"/>
                    <w:pageBreakBefore w:val="0"/>
                    <w:widowControl w:val="0"/>
                    <w:kinsoku/>
                    <w:wordWrap/>
                    <w:overflowPunct/>
                    <w:topLinePunct w:val="0"/>
                    <w:autoSpaceDE w:val="0"/>
                    <w:autoSpaceDN w:val="0"/>
                    <w:bidi w:val="0"/>
                    <w:adjustRightInd/>
                    <w:snapToGrid w:val="0"/>
                    <w:spacing w:line="240" w:lineRule="auto"/>
                    <w:ind w:left="0" w:leftChars="0"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最大存在量</w:t>
                  </w:r>
                </w:p>
                <w:p>
                  <w:pPr>
                    <w:pStyle w:val="8"/>
                    <w:keepNext w:val="0"/>
                    <w:keepLines w:val="0"/>
                    <w:pageBreakBefore w:val="0"/>
                    <w:widowControl w:val="0"/>
                    <w:kinsoku/>
                    <w:wordWrap/>
                    <w:overflowPunct/>
                    <w:topLinePunct w:val="0"/>
                    <w:autoSpaceDE w:val="0"/>
                    <w:autoSpaceDN w:val="0"/>
                    <w:bidi w:val="0"/>
                    <w:adjustRightInd/>
                    <w:snapToGrid w:val="0"/>
                    <w:spacing w:line="240" w:lineRule="auto"/>
                    <w:ind w:left="0" w:leftChars="0"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q（t）</w:t>
                  </w:r>
                </w:p>
              </w:tc>
              <w:tc>
                <w:tcPr>
                  <w:tcW w:w="1085" w:type="dxa"/>
                  <w:tcBorders>
                    <w:left w:val="single" w:color="auto" w:sz="4" w:space="0"/>
                  </w:tcBorders>
                  <w:vAlign w:val="center"/>
                </w:tcPr>
                <w:p>
                  <w:pPr>
                    <w:pStyle w:val="8"/>
                    <w:keepNext w:val="0"/>
                    <w:keepLines w:val="0"/>
                    <w:pageBreakBefore w:val="0"/>
                    <w:widowControl w:val="0"/>
                    <w:kinsoku/>
                    <w:wordWrap/>
                    <w:overflowPunct/>
                    <w:topLinePunct w:val="0"/>
                    <w:autoSpaceDE w:val="0"/>
                    <w:autoSpaceDN w:val="0"/>
                    <w:bidi w:val="0"/>
                    <w:adjustRightInd/>
                    <w:snapToGrid w:val="0"/>
                    <w:spacing w:line="240" w:lineRule="auto"/>
                    <w:ind w:left="0" w:leftChars="0"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临界量</w:t>
                  </w:r>
                </w:p>
                <w:p>
                  <w:pPr>
                    <w:pStyle w:val="8"/>
                    <w:keepNext w:val="0"/>
                    <w:keepLines w:val="0"/>
                    <w:pageBreakBefore w:val="0"/>
                    <w:widowControl w:val="0"/>
                    <w:kinsoku/>
                    <w:wordWrap/>
                    <w:overflowPunct/>
                    <w:topLinePunct w:val="0"/>
                    <w:autoSpaceDE w:val="0"/>
                    <w:autoSpaceDN w:val="0"/>
                    <w:bidi w:val="0"/>
                    <w:adjustRightInd/>
                    <w:snapToGrid w:val="0"/>
                    <w:spacing w:line="240" w:lineRule="auto"/>
                    <w:ind w:left="0" w:leftChars="0"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Q（t）</w:t>
                  </w:r>
                </w:p>
              </w:tc>
              <w:tc>
                <w:tcPr>
                  <w:tcW w:w="1847" w:type="dxa"/>
                  <w:vAlign w:val="center"/>
                </w:tcPr>
                <w:p>
                  <w:pPr>
                    <w:pStyle w:val="8"/>
                    <w:keepNext w:val="0"/>
                    <w:keepLines w:val="0"/>
                    <w:pageBreakBefore w:val="0"/>
                    <w:widowControl w:val="0"/>
                    <w:kinsoku/>
                    <w:wordWrap/>
                    <w:overflowPunct/>
                    <w:topLinePunct w:val="0"/>
                    <w:autoSpaceDE w:val="0"/>
                    <w:autoSpaceDN w:val="0"/>
                    <w:bidi w:val="0"/>
                    <w:adjustRightInd/>
                    <w:snapToGrid w:val="0"/>
                    <w:spacing w:line="240" w:lineRule="auto"/>
                    <w:ind w:left="0" w:leftChars="0"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与临界量比值</w:t>
                  </w:r>
                </w:p>
                <w:p>
                  <w:pPr>
                    <w:pStyle w:val="8"/>
                    <w:keepNext w:val="0"/>
                    <w:keepLines w:val="0"/>
                    <w:pageBreakBefore w:val="0"/>
                    <w:widowControl w:val="0"/>
                    <w:kinsoku/>
                    <w:wordWrap/>
                    <w:overflowPunct/>
                    <w:topLinePunct w:val="0"/>
                    <w:autoSpaceDE w:val="0"/>
                    <w:autoSpaceDN w:val="0"/>
                    <w:bidi w:val="0"/>
                    <w:adjustRightInd/>
                    <w:snapToGrid w:val="0"/>
                    <w:spacing w:line="240" w:lineRule="auto"/>
                    <w:ind w:left="0" w:leftChars="0"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q/Q</w:t>
                  </w:r>
                </w:p>
              </w:tc>
              <w:tc>
                <w:tcPr>
                  <w:tcW w:w="1847" w:type="dxa"/>
                  <w:vAlign w:val="center"/>
                </w:tcPr>
                <w:p>
                  <w:pPr>
                    <w:pStyle w:val="8"/>
                    <w:keepNext w:val="0"/>
                    <w:keepLines w:val="0"/>
                    <w:pageBreakBefore w:val="0"/>
                    <w:widowControl w:val="0"/>
                    <w:kinsoku/>
                    <w:wordWrap/>
                    <w:overflowPunct/>
                    <w:topLinePunct w:val="0"/>
                    <w:autoSpaceDE w:val="0"/>
                    <w:autoSpaceDN w:val="0"/>
                    <w:bidi w:val="0"/>
                    <w:adjustRightInd/>
                    <w:snapToGrid w:val="0"/>
                    <w:spacing w:line="240" w:lineRule="auto"/>
                    <w:ind w:left="0" w:leftChars="0" w:firstLine="0" w:firstLineChars="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临界值来源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4" w:type="dxa"/>
                  <w:tcBorders>
                    <w:right w:val="single" w:color="auto" w:sz="4" w:space="0"/>
                  </w:tcBorders>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lang w:bidi="ar"/>
                    </w:rPr>
                    <w:t>1</w:t>
                  </w:r>
                </w:p>
              </w:tc>
              <w:tc>
                <w:tcPr>
                  <w:tcW w:w="1320" w:type="dxa"/>
                  <w:tcBorders>
                    <w:left w:val="single" w:color="auto" w:sz="4" w:space="0"/>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bidi="ar"/>
                    </w:rPr>
                    <w:t>甲醇</w:t>
                  </w:r>
                </w:p>
              </w:tc>
              <w:tc>
                <w:tcPr>
                  <w:tcW w:w="1584" w:type="dxa"/>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0.64</w:t>
                  </w:r>
                </w:p>
              </w:tc>
              <w:tc>
                <w:tcPr>
                  <w:tcW w:w="1085" w:type="dxa"/>
                  <w:tcBorders>
                    <w:lef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w:t>
                  </w:r>
                </w:p>
              </w:tc>
              <w:tc>
                <w:tcPr>
                  <w:tcW w:w="1847" w:type="dxa"/>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0.064000</w:t>
                  </w:r>
                </w:p>
              </w:tc>
              <w:tc>
                <w:tcPr>
                  <w:tcW w:w="1847" w:type="dxa"/>
                  <w:vMerge w:val="restart"/>
                  <w:vAlign w:val="center"/>
                </w:tcPr>
                <w:p>
                  <w:pPr>
                    <w:keepNext w:val="0"/>
                    <w:keepLines w:val="0"/>
                    <w:pageBreakBefore w:val="0"/>
                    <w:widowControl/>
                    <w:suppressLineNumbers w:val="0"/>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《企业突发环境事件风险分级方法》(HJ941-2018)</w:t>
                  </w:r>
                </w:p>
                <w:p>
                  <w:pPr>
                    <w:keepNext w:val="0"/>
                    <w:keepLines w:val="0"/>
                    <w:pageBreakBefore w:val="0"/>
                    <w:widowControl/>
                    <w:suppressLineNumbers w:val="0"/>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sz w:val="21"/>
                      <w:szCs w:val="21"/>
                      <w:lang w:val="en-US" w:eastAsia="zh-CN"/>
                    </w:rPr>
                    <w:t>中附录A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4" w:type="dxa"/>
                  <w:tcBorders>
                    <w:right w:val="single" w:color="auto" w:sz="4" w:space="0"/>
                  </w:tcBorders>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
                    </w:rPr>
                    <w:t>2</w:t>
                  </w:r>
                </w:p>
              </w:tc>
              <w:tc>
                <w:tcPr>
                  <w:tcW w:w="1320" w:type="dxa"/>
                  <w:tcBorders>
                    <w:left w:val="single" w:color="auto" w:sz="4" w:space="0"/>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淬火油</w:t>
                  </w:r>
                </w:p>
              </w:tc>
              <w:tc>
                <w:tcPr>
                  <w:tcW w:w="1584" w:type="dxa"/>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5.16</w:t>
                  </w:r>
                </w:p>
              </w:tc>
              <w:tc>
                <w:tcPr>
                  <w:tcW w:w="1085" w:type="dxa"/>
                  <w:tcBorders>
                    <w:lef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2500</w:t>
                  </w:r>
                </w:p>
              </w:tc>
              <w:tc>
                <w:tcPr>
                  <w:tcW w:w="1847" w:type="dxa"/>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0.002064</w:t>
                  </w:r>
                </w:p>
              </w:tc>
              <w:tc>
                <w:tcPr>
                  <w:tcW w:w="1847" w:type="dxa"/>
                  <w:vMerge w:val="continue"/>
                  <w:vAlign w:val="center"/>
                </w:tcPr>
                <w:p>
                  <w:pPr>
                    <w:keepNext w:val="0"/>
                    <w:keepLines w:val="0"/>
                    <w:pageBreakBefore w:val="0"/>
                    <w:widowControl/>
                    <w:suppressLineNumbers w:val="0"/>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4" w:type="dxa"/>
                  <w:tcBorders>
                    <w:right w:val="single" w:color="auto" w:sz="4" w:space="0"/>
                  </w:tcBorders>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3</w:t>
                  </w:r>
                </w:p>
              </w:tc>
              <w:tc>
                <w:tcPr>
                  <w:tcW w:w="1320" w:type="dxa"/>
                  <w:tcBorders>
                    <w:left w:val="single" w:color="auto" w:sz="4" w:space="0"/>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kern w:val="0"/>
                      <w:sz w:val="21"/>
                      <w:szCs w:val="21"/>
                      <w:highlight w:val="none"/>
                      <w:lang w:val="en-US" w:eastAsia="zh-CN" w:bidi="ar"/>
                    </w:rPr>
                    <w:t>废油渣</w:t>
                  </w:r>
                </w:p>
              </w:tc>
              <w:tc>
                <w:tcPr>
                  <w:tcW w:w="1584" w:type="dxa"/>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0.9</w:t>
                  </w:r>
                </w:p>
              </w:tc>
              <w:tc>
                <w:tcPr>
                  <w:tcW w:w="1085" w:type="dxa"/>
                  <w:tcBorders>
                    <w:lef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2500</w:t>
                  </w:r>
                </w:p>
              </w:tc>
              <w:tc>
                <w:tcPr>
                  <w:tcW w:w="1847" w:type="dxa"/>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0.000360</w:t>
                  </w:r>
                </w:p>
              </w:tc>
              <w:tc>
                <w:tcPr>
                  <w:tcW w:w="1847" w:type="dxa"/>
                  <w:vMerge w:val="continue"/>
                  <w:vAlign w:val="center"/>
                </w:tcPr>
                <w:p>
                  <w:pPr>
                    <w:keepNext w:val="0"/>
                    <w:keepLines w:val="0"/>
                    <w:pageBreakBefore w:val="0"/>
                    <w:widowControl/>
                    <w:suppressLineNumbers w:val="0"/>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4" w:type="dxa"/>
                  <w:tcBorders>
                    <w:right w:val="single" w:color="auto" w:sz="4" w:space="0"/>
                  </w:tcBorders>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4</w:t>
                  </w:r>
                </w:p>
              </w:tc>
              <w:tc>
                <w:tcPr>
                  <w:tcW w:w="1320" w:type="dxa"/>
                  <w:tcBorders>
                    <w:left w:val="single" w:color="auto" w:sz="4" w:space="0"/>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废UV灯管</w:t>
                  </w:r>
                </w:p>
              </w:tc>
              <w:tc>
                <w:tcPr>
                  <w:tcW w:w="1584" w:type="dxa"/>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r>
                    <w:rPr>
                      <w:rFonts w:hint="eastAsia" w:eastAsia="仿宋" w:cs="Times New Roman"/>
                      <w:color w:val="auto"/>
                      <w:sz w:val="21"/>
                      <w:szCs w:val="21"/>
                      <w:highlight w:val="none"/>
                      <w:lang w:val="en-US" w:eastAsia="zh-CN"/>
                    </w:rPr>
                    <w:t>.005</w:t>
                  </w:r>
                </w:p>
              </w:tc>
              <w:tc>
                <w:tcPr>
                  <w:tcW w:w="1085" w:type="dxa"/>
                  <w:tcBorders>
                    <w:lef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100</w:t>
                  </w:r>
                </w:p>
              </w:tc>
              <w:tc>
                <w:tcPr>
                  <w:tcW w:w="1847" w:type="dxa"/>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w:t>
                  </w:r>
                  <w:r>
                    <w:rPr>
                      <w:rFonts w:hint="eastAsia" w:cs="Times New Roman"/>
                      <w:i w:val="0"/>
                      <w:iCs w:val="0"/>
                      <w:color w:val="000000"/>
                      <w:kern w:val="0"/>
                      <w:sz w:val="21"/>
                      <w:szCs w:val="21"/>
                      <w:u w:val="none"/>
                      <w:lang w:val="en-US" w:eastAsia="zh-CN" w:bidi="ar"/>
                    </w:rPr>
                    <w:t>05</w:t>
                  </w:r>
                </w:p>
              </w:tc>
              <w:tc>
                <w:tcPr>
                  <w:tcW w:w="1847" w:type="dxa"/>
                  <w:vMerge w:val="continue"/>
                  <w:vAlign w:val="center"/>
                </w:tcPr>
                <w:p>
                  <w:pPr>
                    <w:keepNext w:val="0"/>
                    <w:keepLines w:val="0"/>
                    <w:pageBreakBefore w:val="0"/>
                    <w:widowControl/>
                    <w:suppressLineNumbers w:val="0"/>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4" w:type="dxa"/>
                  <w:tcBorders>
                    <w:right w:val="single" w:color="auto" w:sz="4" w:space="0"/>
                  </w:tcBorders>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5</w:t>
                  </w:r>
                </w:p>
              </w:tc>
              <w:tc>
                <w:tcPr>
                  <w:tcW w:w="1320" w:type="dxa"/>
                  <w:tcBorders>
                    <w:left w:val="single" w:color="auto" w:sz="4" w:space="0"/>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bidi="ar"/>
                    </w:rPr>
                    <w:t>废活性炭</w:t>
                  </w:r>
                </w:p>
              </w:tc>
              <w:tc>
                <w:tcPr>
                  <w:tcW w:w="1584" w:type="dxa"/>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1.18</w:t>
                  </w:r>
                </w:p>
              </w:tc>
              <w:tc>
                <w:tcPr>
                  <w:tcW w:w="1085" w:type="dxa"/>
                  <w:tcBorders>
                    <w:lef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100</w:t>
                  </w:r>
                </w:p>
              </w:tc>
              <w:tc>
                <w:tcPr>
                  <w:tcW w:w="1847" w:type="dxa"/>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0.011800</w:t>
                  </w:r>
                </w:p>
              </w:tc>
              <w:tc>
                <w:tcPr>
                  <w:tcW w:w="1847" w:type="dxa"/>
                  <w:vMerge w:val="continue"/>
                  <w:vAlign w:val="center"/>
                </w:tcPr>
                <w:p>
                  <w:pPr>
                    <w:keepNext w:val="0"/>
                    <w:keepLines w:val="0"/>
                    <w:pageBreakBefore w:val="0"/>
                    <w:widowControl/>
                    <w:suppressLineNumbers w:val="0"/>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4" w:type="dxa"/>
                  <w:tcBorders>
                    <w:right w:val="single" w:color="auto" w:sz="4" w:space="0"/>
                  </w:tcBorders>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6</w:t>
                  </w:r>
                </w:p>
              </w:tc>
              <w:tc>
                <w:tcPr>
                  <w:tcW w:w="1320" w:type="dxa"/>
                  <w:tcBorders>
                    <w:left w:val="single" w:color="auto" w:sz="4" w:space="0"/>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废</w:t>
                  </w:r>
                  <w:r>
                    <w:rPr>
                      <w:rFonts w:hint="eastAsia" w:ascii="Times New Roman" w:hAnsi="Times New Roman" w:eastAsia="仿宋" w:cs="Times New Roman"/>
                      <w:color w:val="auto"/>
                      <w:kern w:val="0"/>
                      <w:sz w:val="21"/>
                      <w:szCs w:val="21"/>
                      <w:highlight w:val="none"/>
                      <w:lang w:val="en-US" w:eastAsia="zh-CN" w:bidi="ar"/>
                    </w:rPr>
                    <w:t>油</w:t>
                  </w:r>
                  <w:r>
                    <w:rPr>
                      <w:rFonts w:hint="default" w:ascii="Times New Roman" w:hAnsi="Times New Roman" w:eastAsia="仿宋" w:cs="Times New Roman"/>
                      <w:color w:val="auto"/>
                      <w:kern w:val="0"/>
                      <w:sz w:val="21"/>
                      <w:szCs w:val="21"/>
                      <w:highlight w:val="none"/>
                      <w:lang w:val="en-US" w:eastAsia="zh-CN" w:bidi="ar"/>
                    </w:rPr>
                    <w:t>桶</w:t>
                  </w:r>
                </w:p>
              </w:tc>
              <w:tc>
                <w:tcPr>
                  <w:tcW w:w="1584" w:type="dxa"/>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0.01</w:t>
                  </w:r>
                </w:p>
              </w:tc>
              <w:tc>
                <w:tcPr>
                  <w:tcW w:w="1085" w:type="dxa"/>
                  <w:tcBorders>
                    <w:lef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2500</w:t>
                  </w:r>
                </w:p>
              </w:tc>
              <w:tc>
                <w:tcPr>
                  <w:tcW w:w="1847" w:type="dxa"/>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0.000004</w:t>
                  </w:r>
                </w:p>
              </w:tc>
              <w:tc>
                <w:tcPr>
                  <w:tcW w:w="1847" w:type="dxa"/>
                  <w:vMerge w:val="continue"/>
                  <w:vAlign w:val="center"/>
                </w:tcPr>
                <w:p>
                  <w:pPr>
                    <w:keepNext w:val="0"/>
                    <w:keepLines w:val="0"/>
                    <w:pageBreakBefore w:val="0"/>
                    <w:widowControl/>
                    <w:suppressLineNumbers w:val="0"/>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94" w:type="dxa"/>
                  <w:tcBorders>
                    <w:right w:val="single" w:color="auto" w:sz="4" w:space="0"/>
                  </w:tcBorders>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7</w:t>
                  </w:r>
                </w:p>
              </w:tc>
              <w:tc>
                <w:tcPr>
                  <w:tcW w:w="1320" w:type="dxa"/>
                  <w:tcBorders>
                    <w:left w:val="single" w:color="auto" w:sz="4" w:space="0"/>
                  </w:tcBorders>
                  <w:vAlign w:val="center"/>
                </w:tcPr>
                <w:p>
                  <w:pPr>
                    <w:widowControl/>
                    <w:spacing w:line="240" w:lineRule="auto"/>
                    <w:ind w:firstLine="0" w:firstLine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废甲醇桶</w:t>
                  </w:r>
                </w:p>
              </w:tc>
              <w:tc>
                <w:tcPr>
                  <w:tcW w:w="1584" w:type="dxa"/>
                  <w:vAlign w:val="center"/>
                </w:tcPr>
                <w:p>
                  <w:pPr>
                    <w:keepNext w:val="0"/>
                    <w:keepLines w:val="0"/>
                    <w:pageBreakBefore w:val="0"/>
                    <w:widowControl/>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0.025</w:t>
                  </w:r>
                </w:p>
              </w:tc>
              <w:tc>
                <w:tcPr>
                  <w:tcW w:w="1085" w:type="dxa"/>
                  <w:tcBorders>
                    <w:lef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100</w:t>
                  </w:r>
                </w:p>
              </w:tc>
              <w:tc>
                <w:tcPr>
                  <w:tcW w:w="1847" w:type="dxa"/>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0.000250</w:t>
                  </w:r>
                </w:p>
              </w:tc>
              <w:tc>
                <w:tcPr>
                  <w:tcW w:w="1847" w:type="dxa"/>
                  <w:vMerge w:val="continue"/>
                  <w:vAlign w:val="center"/>
                </w:tcPr>
                <w:p>
                  <w:pPr>
                    <w:keepNext w:val="0"/>
                    <w:keepLines w:val="0"/>
                    <w:pageBreakBefore w:val="0"/>
                    <w:widowControl/>
                    <w:suppressLineNumbers w:val="0"/>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783" w:type="dxa"/>
                  <w:gridSpan w:val="4"/>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合计</w:t>
                  </w:r>
                </w:p>
              </w:tc>
              <w:tc>
                <w:tcPr>
                  <w:tcW w:w="1847" w:type="dxa"/>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0.078</w:t>
                  </w:r>
                  <w:r>
                    <w:rPr>
                      <w:rFonts w:hint="eastAsia"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78</w:t>
                  </w:r>
                </w:p>
              </w:tc>
              <w:tc>
                <w:tcPr>
                  <w:tcW w:w="1847" w:type="dxa"/>
                  <w:vMerge w:val="continue"/>
                  <w:vAlign w:val="center"/>
                </w:tcPr>
                <w:p>
                  <w:pPr>
                    <w:keepNext w:val="0"/>
                    <w:keepLines w:val="0"/>
                    <w:pageBreakBefore w:val="0"/>
                    <w:widowControl/>
                    <w:suppressLineNumbers w:val="0"/>
                    <w:kinsoku/>
                    <w:wordWrap/>
                    <w:overflowPunct/>
                    <w:topLinePunct w:val="0"/>
                    <w:bidi w:val="0"/>
                    <w:adjustRightInd/>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根据以上分析可知，本项目q/Q&lt;1，环境风险潜势为Ⅰ。</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（2）评价工作等级判断</w:t>
            </w:r>
          </w:p>
          <w:p>
            <w:pPr>
              <w:autoSpaceDE w:val="0"/>
              <w:autoSpaceDN w:val="0"/>
              <w:adjustRightInd w:val="0"/>
              <w:ind w:firstLine="482"/>
              <w:jc w:val="center"/>
              <w:rPr>
                <w:rFonts w:hint="default" w:eastAsia="宋体" w:cs="Times New Roman"/>
                <w:b/>
                <w:bCs/>
                <w:color w:val="auto"/>
                <w:szCs w:val="24"/>
                <w:highlight w:val="none"/>
              </w:rPr>
            </w:pPr>
            <w:r>
              <w:rPr>
                <w:rFonts w:hint="default" w:ascii="Times New Roman" w:hAnsi="Times New Roman" w:eastAsia="仿宋" w:cs="Times New Roman"/>
                <w:b/>
                <w:bCs/>
                <w:kern w:val="0"/>
                <w:sz w:val="24"/>
                <w:szCs w:val="24"/>
                <w:lang w:val="en-US" w:eastAsia="zh-CN"/>
              </w:rPr>
              <w:t>表</w:t>
            </w:r>
            <w:r>
              <w:rPr>
                <w:rFonts w:hint="eastAsia" w:eastAsia="仿宋" w:cs="Times New Roman"/>
                <w:b/>
                <w:bCs/>
                <w:kern w:val="0"/>
                <w:sz w:val="24"/>
                <w:szCs w:val="24"/>
                <w:lang w:val="en-US" w:eastAsia="zh-CN"/>
              </w:rPr>
              <w:t>4-36</w:t>
            </w:r>
            <w:r>
              <w:rPr>
                <w:rFonts w:hint="default" w:ascii="Times New Roman" w:hAnsi="Times New Roman" w:eastAsia="仿宋" w:cs="Times New Roman"/>
                <w:b/>
                <w:bCs/>
                <w:kern w:val="0"/>
                <w:sz w:val="24"/>
                <w:szCs w:val="24"/>
                <w:lang w:val="en-US" w:eastAsia="zh-CN"/>
              </w:rPr>
              <w:t xml:space="preserve"> 风险评价工作等级划分表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5"/>
              <w:gridCol w:w="1854"/>
              <w:gridCol w:w="801"/>
              <w:gridCol w:w="801"/>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pct"/>
                </w:tcPr>
                <w:p>
                  <w:pPr>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环境风险潜势</w:t>
                  </w:r>
                </w:p>
              </w:tc>
              <w:tc>
                <w:tcPr>
                  <w:tcW w:w="1092" w:type="pct"/>
                </w:tcPr>
                <w:p>
                  <w:pPr>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Ⅳ、Ⅳ+</w:t>
                  </w:r>
                </w:p>
              </w:tc>
              <w:tc>
                <w:tcPr>
                  <w:tcW w:w="472" w:type="pct"/>
                </w:tcPr>
                <w:p>
                  <w:pPr>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Ⅲ</w:t>
                  </w:r>
                </w:p>
              </w:tc>
              <w:tc>
                <w:tcPr>
                  <w:tcW w:w="472" w:type="pct"/>
                </w:tcPr>
                <w:p>
                  <w:pPr>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Ⅱ</w:t>
                  </w:r>
                </w:p>
              </w:tc>
              <w:tc>
                <w:tcPr>
                  <w:tcW w:w="1331" w:type="pct"/>
                </w:tcPr>
                <w:p>
                  <w:pPr>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4" w:type="pct"/>
                </w:tcPr>
                <w:p>
                  <w:pPr>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评价工作等级</w:t>
                  </w:r>
                </w:p>
              </w:tc>
              <w:tc>
                <w:tcPr>
                  <w:tcW w:w="1092" w:type="pct"/>
                </w:tcPr>
                <w:p>
                  <w:pPr>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一</w:t>
                  </w:r>
                </w:p>
              </w:tc>
              <w:tc>
                <w:tcPr>
                  <w:tcW w:w="472" w:type="pct"/>
                </w:tcPr>
                <w:p>
                  <w:pPr>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二</w:t>
                  </w:r>
                </w:p>
              </w:tc>
              <w:tc>
                <w:tcPr>
                  <w:tcW w:w="472" w:type="pct"/>
                </w:tcPr>
                <w:p>
                  <w:pPr>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三</w:t>
                  </w:r>
                </w:p>
              </w:tc>
              <w:tc>
                <w:tcPr>
                  <w:tcW w:w="1331" w:type="pct"/>
                </w:tcPr>
                <w:p>
                  <w:pPr>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简单分析a</w:t>
                  </w:r>
                </w:p>
              </w:tc>
            </w:tr>
          </w:tbl>
          <w:p>
            <w:pPr>
              <w:widowControl/>
              <w:spacing w:line="240" w:lineRule="auto"/>
              <w:ind w:firstLine="0" w:firstLineChars="0"/>
              <w:jc w:val="left"/>
              <w:rPr>
                <w:rFonts w:hint="default" w:ascii="Times New Roman" w:hAnsi="Times New Roman" w:eastAsia="仿宋" w:cs="Times New Roman"/>
                <w:b w:val="0"/>
                <w:bCs/>
                <w:kern w:val="0"/>
                <w:sz w:val="24"/>
                <w:szCs w:val="24"/>
                <w:lang w:val="en-US" w:eastAsia="zh-CN"/>
              </w:rPr>
            </w:pPr>
            <w:r>
              <w:rPr>
                <w:rFonts w:hint="default" w:eastAsia="宋体" w:cs="Times New Roman"/>
                <w:b w:val="0"/>
                <w:bCs/>
                <w:color w:val="auto"/>
                <w:kern w:val="0"/>
                <w:sz w:val="21"/>
                <w:szCs w:val="21"/>
                <w:highlight w:val="none"/>
              </w:rPr>
              <w:t>a</w:t>
            </w:r>
            <w:r>
              <w:rPr>
                <w:rFonts w:hint="default" w:ascii="Times New Roman" w:hAnsi="Times New Roman" w:eastAsia="仿宋" w:cs="Times New Roman"/>
                <w:b w:val="0"/>
                <w:bCs/>
                <w:kern w:val="0"/>
                <w:sz w:val="24"/>
                <w:szCs w:val="24"/>
                <w:lang w:val="en-US" w:eastAsia="zh-CN"/>
              </w:rPr>
              <w:t xml:space="preserve"> 相对于详细评价工作内容而言，在描述危险物质、环境影响途径、环境危害后果、风险防范、措施等方面给出定性的说明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default" w:ascii="Times New Roman" w:hAnsi="Times New Roman" w:eastAsia="仿宋" w:cs="Times New Roman"/>
                <w:kern w:val="0"/>
                <w:sz w:val="24"/>
                <w:szCs w:val="24"/>
                <w:lang w:val="en-US" w:eastAsia="zh-CN"/>
              </w:rPr>
              <w:t>根据《建设项目环境风险评价技术导则》（HJ 169-2018）分级判据，本项目环境风险潜势为Ⅰ，评价工作等级进行简单分析。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项目涉及的有毒有害和易燃易爆等危险物质为</w:t>
            </w:r>
            <w:r>
              <w:rPr>
                <w:rFonts w:hint="eastAsia" w:eastAsia="仿宋" w:cs="Times New Roman"/>
                <w:kern w:val="0"/>
                <w:sz w:val="24"/>
                <w:szCs w:val="24"/>
                <w:lang w:val="en-US" w:eastAsia="zh-CN"/>
              </w:rPr>
              <w:t>甲醇、淬火油等</w:t>
            </w:r>
            <w:r>
              <w:rPr>
                <w:rFonts w:hint="eastAsia" w:ascii="Times New Roman" w:hAnsi="Times New Roman" w:eastAsia="仿宋" w:cs="Times New Roman"/>
                <w:kern w:val="0"/>
                <w:sz w:val="24"/>
                <w:szCs w:val="24"/>
                <w:lang w:val="en-US" w:eastAsia="zh-CN"/>
              </w:rPr>
              <w:t>，暂存在原料仓库，</w:t>
            </w:r>
            <w:r>
              <w:rPr>
                <w:rFonts w:hint="eastAsia" w:eastAsia="仿宋" w:cs="Times New Roman"/>
                <w:kern w:val="0"/>
                <w:sz w:val="24"/>
                <w:szCs w:val="24"/>
                <w:lang w:val="en-US" w:eastAsia="zh-CN"/>
              </w:rPr>
              <w:t>甲醇等</w:t>
            </w:r>
            <w:r>
              <w:rPr>
                <w:rFonts w:hint="eastAsia" w:ascii="Times New Roman" w:hAnsi="Times New Roman" w:eastAsia="仿宋" w:cs="Times New Roman"/>
                <w:kern w:val="0"/>
                <w:sz w:val="24"/>
                <w:szCs w:val="24"/>
                <w:lang w:val="en-US" w:eastAsia="zh-CN"/>
              </w:rPr>
              <w:t>在贮存过程中可能发生泄露，并遇明火引发火灾等环境风险事故，建设方必须严格采取行之有效的防范泄漏措施，尽可能降低泄漏、火灾事故的发生。主要的环境风险防范措施包括但不限于：</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a.总图布置严格按照《建筑设计防火规范(GB50016-2014)》的要求进行设计。</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b.液体化学品原料均下设防漏托盘，危废仓库地面均做防渗处理。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c.按照使用计划严格控制化学品的暂存量，不过多存放；及时清理危废。</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d.危废的存放设置明显标志，并由专人管理，出入库应当进行核查登记，并定期检查。</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e.制定突发环境事件应急预案，建立应急小组，负责应急突发性事件的组织、指挥、抢修、控制、协调等应急响应行动；配备消防器材、救生器、防护面罩、胶皮手套、急救用品、沙袋、吸收棉、收集桶等应急物资或设备；发生泄漏时，用砂土或其它材料吸附或吸收，然后铲入桶内收集。</w:t>
            </w:r>
          </w:p>
          <w:p>
            <w:pPr>
              <w:widowControl w:val="0"/>
              <w:numPr>
                <w:ilvl w:val="0"/>
                <w:numId w:val="0"/>
              </w:numPr>
              <w:adjustRightInd w:val="0"/>
              <w:snapToGrid w:val="0"/>
              <w:jc w:val="both"/>
              <w:rPr>
                <w:rFonts w:hint="default" w:ascii="宋体" w:hAnsi="宋体" w:cs="宋体"/>
                <w:bCs/>
                <w:spacing w:val="-10"/>
                <w:szCs w:val="21"/>
                <w:lang w:val="en-US" w:eastAsia="zh-CN"/>
              </w:rPr>
            </w:pPr>
          </w:p>
        </w:tc>
      </w:tr>
    </w:tbl>
    <w:p>
      <w:pPr>
        <w:pStyle w:val="2"/>
        <w:rPr>
          <w:rFonts w:hint="eastAsia"/>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1" w:name="_Hlk54167917"/>
      <w:r>
        <w:rPr>
          <w:rFonts w:hint="eastAsia" w:ascii="黑体" w:hAnsi="黑体" w:eastAsia="黑体"/>
          <w:snapToGrid w:val="0"/>
          <w:sz w:val="30"/>
          <w:szCs w:val="30"/>
        </w:rPr>
        <w:t>环境保护措施监督检查清单</w:t>
      </w:r>
      <w:bookmarkEnd w:id="1"/>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12" w:lineRule="exact"/>
              <w:ind w:firstLine="840"/>
              <w:textAlignment w:val="auto"/>
              <w:rPr>
                <w:rFonts w:hint="eastAsia" w:ascii="仿宋" w:hAnsi="仿宋" w:eastAsia="仿宋" w:cs="仿宋"/>
                <w:szCs w:val="21"/>
              </w:rPr>
            </w:pPr>
            <w:r>
              <w:rPr>
                <w:rFonts w:hint="eastAsia" w:ascii="仿宋" w:hAnsi="仿宋" w:eastAsia="仿宋" w:cs="仿宋"/>
                <w:szCs w:val="21"/>
              </w:rPr>
              <w:t>内容</w:t>
            </w:r>
          </w:p>
          <w:p>
            <w:pPr>
              <w:keepNext w:val="0"/>
              <w:keepLines w:val="0"/>
              <w:pageBreakBefore w:val="0"/>
              <w:widowControl w:val="0"/>
              <w:kinsoku/>
              <w:wordWrap/>
              <w:overflowPunct/>
              <w:topLinePunct w:val="0"/>
              <w:autoSpaceDE/>
              <w:autoSpaceDN/>
              <w:bidi w:val="0"/>
              <w:adjustRightInd/>
              <w:snapToGrid/>
              <w:spacing w:line="312" w:lineRule="exact"/>
              <w:textAlignment w:val="auto"/>
              <w:rPr>
                <w:rFonts w:hint="eastAsia" w:ascii="仿宋" w:hAnsi="仿宋" w:eastAsia="仿宋" w:cs="仿宋"/>
                <w:szCs w:val="21"/>
              </w:rPr>
            </w:pPr>
            <w:r>
              <w:rPr>
                <w:rFonts w:hint="eastAsia" w:ascii="仿宋" w:hAnsi="仿宋" w:eastAsia="仿宋" w:cs="仿宋"/>
                <w:szCs w:val="21"/>
              </w:rPr>
              <w:t>要素</w:t>
            </w:r>
          </w:p>
        </w:tc>
        <w:tc>
          <w:tcPr>
            <w:tcW w:w="1755"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r>
              <w:rPr>
                <w:rFonts w:hint="eastAsia" w:ascii="仿宋" w:hAnsi="仿宋" w:eastAsia="仿宋" w:cs="仿宋"/>
                <w:szCs w:val="21"/>
              </w:rPr>
              <w:t>排放口(编号、名称)/污染源</w:t>
            </w:r>
          </w:p>
        </w:tc>
        <w:tc>
          <w:tcPr>
            <w:tcW w:w="1755"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r>
              <w:rPr>
                <w:rFonts w:hint="eastAsia" w:ascii="仿宋" w:hAnsi="仿宋" w:eastAsia="仿宋" w:cs="仿宋"/>
                <w:szCs w:val="21"/>
              </w:rPr>
              <w:t>污染物项目</w:t>
            </w:r>
          </w:p>
        </w:tc>
        <w:tc>
          <w:tcPr>
            <w:tcW w:w="1755"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r>
              <w:rPr>
                <w:rFonts w:hint="eastAsia" w:ascii="仿宋" w:hAnsi="仿宋" w:eastAsia="仿宋" w:cs="仿宋"/>
                <w:szCs w:val="21"/>
              </w:rPr>
              <w:t>环境保护措施</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r>
              <w:rPr>
                <w:rFonts w:hint="eastAsia" w:ascii="仿宋" w:hAnsi="仿宋" w:eastAsia="仿宋" w:cs="仿宋"/>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7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r>
              <w:rPr>
                <w:rFonts w:hint="eastAsia" w:ascii="仿宋" w:hAnsi="仿宋" w:eastAsia="仿宋" w:cs="仿宋"/>
                <w:szCs w:val="21"/>
              </w:rPr>
              <w:t>大气环境</w:t>
            </w:r>
          </w:p>
        </w:tc>
        <w:tc>
          <w:tcPr>
            <w:tcW w:w="1755" w:type="dxa"/>
            <w:noWrap w:val="0"/>
            <w:vAlign w:val="center"/>
          </w:tcPr>
          <w:p>
            <w:pPr>
              <w:spacing w:line="240" w:lineRule="auto"/>
              <w:ind w:firstLine="0" w:firstLineChars="0"/>
              <w:jc w:val="center"/>
              <w:rPr>
                <w:rFonts w:hint="default" w:ascii="Times New Roman" w:hAnsi="Times New Roman" w:eastAsia="仿宋" w:cs="Times New Roman"/>
                <w:szCs w:val="21"/>
                <w:lang w:val="en-US" w:eastAsia="zh-CN"/>
              </w:rPr>
            </w:pPr>
            <w:r>
              <w:rPr>
                <w:rFonts w:hint="eastAsia" w:eastAsia="仿宋" w:cs="Times New Roman"/>
                <w:bCs/>
                <w:color w:val="auto"/>
                <w:sz w:val="21"/>
                <w:szCs w:val="21"/>
                <w:highlight w:val="none"/>
                <w:lang w:val="en-US" w:eastAsia="zh-CN"/>
              </w:rPr>
              <w:t>1#</w:t>
            </w:r>
            <w:r>
              <w:rPr>
                <w:rFonts w:hint="default" w:ascii="Times New Roman" w:hAnsi="Times New Roman" w:eastAsia="仿宋" w:cs="Times New Roman"/>
                <w:bCs/>
                <w:color w:val="auto"/>
                <w:sz w:val="21"/>
                <w:szCs w:val="21"/>
                <w:highlight w:val="none"/>
                <w:lang w:val="en-US" w:eastAsia="zh-CN"/>
              </w:rPr>
              <w:t>排气筒</w:t>
            </w:r>
            <w:r>
              <w:rPr>
                <w:rFonts w:hint="eastAsia" w:ascii="Times New Roman" w:hAnsi="Times New Roman" w:eastAsia="仿宋" w:cs="Times New Roman"/>
                <w:bCs/>
                <w:color w:val="auto"/>
                <w:sz w:val="21"/>
                <w:szCs w:val="21"/>
                <w:highlight w:val="none"/>
                <w:lang w:val="en-US" w:eastAsia="zh-CN"/>
              </w:rPr>
              <w:t>（有组织）</w:t>
            </w:r>
          </w:p>
        </w:tc>
        <w:tc>
          <w:tcPr>
            <w:tcW w:w="1755" w:type="dxa"/>
            <w:noWrap w:val="0"/>
            <w:vAlign w:val="center"/>
          </w:tcPr>
          <w:p>
            <w:pPr>
              <w:spacing w:line="240" w:lineRule="auto"/>
              <w:ind w:firstLine="0" w:firstLineChars="0"/>
              <w:jc w:val="center"/>
              <w:rPr>
                <w:rFonts w:hint="default" w:ascii="Times New Roman" w:hAnsi="Times New Roman" w:eastAsia="仿宋" w:cs="Times New Roman"/>
                <w:szCs w:val="21"/>
              </w:rPr>
            </w:pPr>
            <w:r>
              <w:rPr>
                <w:rFonts w:hint="eastAsia" w:eastAsia="仿宋" w:cs="Times New Roman"/>
                <w:bCs/>
                <w:color w:val="auto"/>
                <w:sz w:val="21"/>
                <w:szCs w:val="21"/>
                <w:highlight w:val="none"/>
                <w:lang w:val="en-US" w:eastAsia="zh-CN"/>
              </w:rPr>
              <w:t>非甲烷总烃</w:t>
            </w:r>
          </w:p>
        </w:tc>
        <w:tc>
          <w:tcPr>
            <w:tcW w:w="1755" w:type="dxa"/>
            <w:noWrap w:val="0"/>
            <w:vAlign w:val="center"/>
          </w:tcPr>
          <w:p>
            <w:pPr>
              <w:spacing w:line="240" w:lineRule="auto"/>
              <w:ind w:firstLine="0" w:firstLineChars="0"/>
              <w:jc w:val="center"/>
              <w:rPr>
                <w:rFonts w:hint="default" w:ascii="Times New Roman" w:hAnsi="Times New Roman" w:eastAsia="仿宋" w:cs="Times New Roman"/>
                <w:szCs w:val="21"/>
              </w:rPr>
            </w:pPr>
            <w:r>
              <w:rPr>
                <w:rFonts w:hint="default" w:ascii="Times New Roman" w:hAnsi="Times New Roman" w:eastAsia="仿宋" w:cs="Times New Roman"/>
                <w:color w:val="auto"/>
                <w:kern w:val="0"/>
                <w:sz w:val="21"/>
                <w:szCs w:val="21"/>
                <w:highlight w:val="none"/>
                <w:lang w:val="en-US" w:eastAsia="zh-CN" w:bidi="ar"/>
              </w:rPr>
              <w:t>集气罩收集后</w:t>
            </w:r>
            <w:r>
              <w:rPr>
                <w:rFonts w:hint="eastAsia" w:eastAsia="仿宋" w:cs="Times New Roman"/>
                <w:color w:val="auto"/>
                <w:kern w:val="0"/>
                <w:sz w:val="21"/>
                <w:szCs w:val="21"/>
                <w:highlight w:val="none"/>
                <w:lang w:val="en-US" w:eastAsia="zh-CN" w:bidi="ar"/>
              </w:rPr>
              <w:t>经UV光氧化</w:t>
            </w:r>
            <w:r>
              <w:rPr>
                <w:rFonts w:hint="default" w:ascii="Times New Roman" w:hAnsi="Times New Roman" w:eastAsia="仿宋" w:cs="Times New Roman"/>
                <w:color w:val="auto"/>
                <w:kern w:val="0"/>
                <w:sz w:val="21"/>
                <w:szCs w:val="21"/>
                <w:highlight w:val="none"/>
                <w:lang w:val="en-US" w:eastAsia="zh-CN" w:bidi="ar"/>
              </w:rPr>
              <w:t>＋活性炭</w:t>
            </w:r>
            <w:r>
              <w:rPr>
                <w:rFonts w:hint="eastAsia" w:eastAsia="仿宋" w:cs="Times New Roman"/>
                <w:color w:val="auto"/>
                <w:kern w:val="0"/>
                <w:sz w:val="21"/>
                <w:szCs w:val="21"/>
                <w:highlight w:val="none"/>
                <w:lang w:val="en-US" w:eastAsia="zh-CN" w:bidi="ar"/>
              </w:rPr>
              <w:t>吸附</w:t>
            </w:r>
            <w:r>
              <w:rPr>
                <w:rFonts w:hint="default" w:ascii="Times New Roman" w:hAnsi="Times New Roman" w:eastAsia="仿宋" w:cs="Times New Roman"/>
                <w:color w:val="auto"/>
                <w:kern w:val="0"/>
                <w:sz w:val="21"/>
                <w:szCs w:val="21"/>
                <w:highlight w:val="none"/>
                <w:lang w:bidi="ar"/>
              </w:rPr>
              <w:t>处理后由</w:t>
            </w:r>
            <w:r>
              <w:rPr>
                <w:rFonts w:hint="eastAsia" w:eastAsia="仿宋" w:cs="Times New Roman"/>
                <w:color w:val="auto"/>
                <w:kern w:val="0"/>
                <w:sz w:val="21"/>
                <w:szCs w:val="21"/>
                <w:highlight w:val="none"/>
                <w:lang w:val="en-US" w:eastAsia="zh-CN" w:bidi="ar"/>
              </w:rPr>
              <w:t>15</w:t>
            </w:r>
            <w:r>
              <w:rPr>
                <w:rFonts w:hint="default" w:ascii="Times New Roman" w:hAnsi="Times New Roman" w:eastAsia="仿宋" w:cs="Times New Roman"/>
                <w:color w:val="auto"/>
                <w:kern w:val="0"/>
                <w:sz w:val="21"/>
                <w:szCs w:val="21"/>
                <w:highlight w:val="none"/>
                <w:lang w:bidi="ar"/>
              </w:rPr>
              <w:t>m高</w:t>
            </w:r>
            <w:r>
              <w:rPr>
                <w:rFonts w:hint="default" w:ascii="Times New Roman" w:hAnsi="Times New Roman" w:eastAsia="仿宋" w:cs="Times New Roman"/>
                <w:color w:val="auto"/>
                <w:kern w:val="0"/>
                <w:sz w:val="21"/>
                <w:szCs w:val="21"/>
                <w:highlight w:val="none"/>
                <w:lang w:val="en-US" w:eastAsia="zh-CN" w:bidi="ar"/>
              </w:rPr>
              <w:t>的</w:t>
            </w:r>
            <w:r>
              <w:rPr>
                <w:rFonts w:hint="eastAsia" w:eastAsia="仿宋" w:cs="Times New Roman"/>
                <w:color w:val="auto"/>
                <w:kern w:val="0"/>
                <w:sz w:val="21"/>
                <w:szCs w:val="21"/>
                <w:highlight w:val="none"/>
                <w:lang w:val="en-US" w:eastAsia="zh-CN" w:bidi="ar"/>
              </w:rPr>
              <w:t>1#</w:t>
            </w:r>
            <w:r>
              <w:rPr>
                <w:rFonts w:hint="default" w:ascii="Times New Roman" w:hAnsi="Times New Roman" w:eastAsia="仿宋" w:cs="Times New Roman"/>
                <w:color w:val="auto"/>
                <w:kern w:val="0"/>
                <w:sz w:val="21"/>
                <w:szCs w:val="21"/>
                <w:highlight w:val="none"/>
                <w:lang w:bidi="ar"/>
              </w:rPr>
              <w:t>排气筒排放</w:t>
            </w:r>
          </w:p>
        </w:tc>
        <w:tc>
          <w:tcPr>
            <w:tcW w:w="1757" w:type="dxa"/>
            <w:noWrap w:val="0"/>
            <w:vAlign w:val="center"/>
          </w:tcPr>
          <w:p>
            <w:pPr>
              <w:spacing w:line="240" w:lineRule="auto"/>
              <w:ind w:firstLine="0" w:firstLineChars="0"/>
              <w:jc w:val="center"/>
              <w:rPr>
                <w:rFonts w:hint="default" w:ascii="Times New Roman" w:hAnsi="Times New Roman" w:eastAsia="仿宋" w:cs="Times New Roman"/>
                <w:szCs w:val="21"/>
              </w:rPr>
            </w:pPr>
            <w:r>
              <w:rPr>
                <w:rFonts w:hint="default" w:ascii="Times New Roman" w:hAnsi="Times New Roman" w:eastAsia="仿宋" w:cs="Times New Roman"/>
                <w:bCs/>
                <w:kern w:val="0"/>
                <w:sz w:val="21"/>
                <w:szCs w:val="21"/>
              </w:rPr>
              <w:t>《大气污染物排放标准》（</w:t>
            </w:r>
            <w:r>
              <w:rPr>
                <w:rFonts w:hint="eastAsia" w:eastAsia="仿宋" w:cs="Times New Roman"/>
                <w:bCs/>
                <w:kern w:val="0"/>
                <w:sz w:val="21"/>
                <w:szCs w:val="21"/>
                <w:lang w:eastAsia="zh-CN"/>
              </w:rPr>
              <w:t>DB32/4041-2021</w:t>
            </w:r>
            <w:r>
              <w:rPr>
                <w:rFonts w:hint="default" w:ascii="Times New Roman" w:hAnsi="Times New Roman" w:eastAsia="仿宋" w:cs="Times New Roman"/>
                <w:bCs/>
                <w:kern w:val="0"/>
                <w:sz w:val="21"/>
                <w:szCs w:val="21"/>
              </w:rPr>
              <w:t>）表</w:t>
            </w:r>
            <w:r>
              <w:rPr>
                <w:rFonts w:hint="eastAsia" w:eastAsia="仿宋" w:cs="Times New Roman"/>
                <w:bCs/>
                <w:kern w:val="0"/>
                <w:sz w:val="21"/>
                <w:szCs w:val="21"/>
                <w:lang w:val="en-US" w:eastAsia="zh-CN"/>
              </w:rPr>
              <w:t>1</w:t>
            </w:r>
            <w:r>
              <w:rPr>
                <w:rFonts w:hint="default" w:ascii="Times New Roman" w:hAnsi="Times New Roman" w:eastAsia="仿宋" w:cs="Times New Roman"/>
                <w:bCs/>
                <w:kern w:val="0"/>
                <w:sz w:val="21"/>
                <w:szCs w:val="21"/>
                <w:lang w:val="en-US" w:eastAsia="zh-CN"/>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5" w:type="dxa"/>
            <w:noWrap w:val="0"/>
            <w:vAlign w:val="center"/>
          </w:tcPr>
          <w:p>
            <w:pPr>
              <w:spacing w:line="240" w:lineRule="auto"/>
              <w:ind w:firstLine="0" w:firstLineChars="0"/>
              <w:jc w:val="center"/>
              <w:rPr>
                <w:rFonts w:hint="default" w:ascii="Times New Roman" w:hAnsi="Times New Roman" w:eastAsia="仿宋" w:cs="Times New Roman"/>
                <w:szCs w:val="21"/>
              </w:rPr>
            </w:pPr>
            <w:r>
              <w:rPr>
                <w:rFonts w:hint="eastAsia" w:eastAsia="仿宋" w:cs="Times New Roman"/>
                <w:bCs/>
                <w:color w:val="auto"/>
                <w:sz w:val="21"/>
                <w:szCs w:val="21"/>
                <w:highlight w:val="none"/>
                <w:lang w:val="en-US" w:eastAsia="zh-CN"/>
              </w:rPr>
              <w:t>生产车间</w:t>
            </w:r>
            <w:r>
              <w:rPr>
                <w:rFonts w:hint="default" w:ascii="Times New Roman" w:hAnsi="Times New Roman" w:eastAsia="仿宋" w:cs="Times New Roman"/>
                <w:bCs/>
                <w:color w:val="auto"/>
                <w:sz w:val="21"/>
                <w:szCs w:val="21"/>
                <w:highlight w:val="none"/>
                <w:lang w:val="en-US" w:eastAsia="zh-CN"/>
              </w:rPr>
              <w:t>（无组织）</w:t>
            </w:r>
          </w:p>
        </w:tc>
        <w:tc>
          <w:tcPr>
            <w:tcW w:w="1755" w:type="dxa"/>
            <w:noWrap w:val="0"/>
            <w:vAlign w:val="center"/>
          </w:tcPr>
          <w:p>
            <w:pPr>
              <w:spacing w:line="240" w:lineRule="auto"/>
              <w:ind w:firstLine="0" w:firstLineChars="0"/>
              <w:jc w:val="center"/>
              <w:rPr>
                <w:rFonts w:hint="default" w:ascii="Times New Roman" w:hAnsi="Times New Roman" w:eastAsia="仿宋" w:cs="Times New Roman"/>
                <w:szCs w:val="21"/>
              </w:rPr>
            </w:pPr>
            <w:r>
              <w:rPr>
                <w:rFonts w:hint="eastAsia" w:eastAsia="仿宋" w:cs="Times New Roman"/>
                <w:bCs/>
                <w:color w:val="auto"/>
                <w:sz w:val="21"/>
                <w:szCs w:val="21"/>
                <w:highlight w:val="none"/>
                <w:lang w:val="en-US" w:eastAsia="zh-CN"/>
              </w:rPr>
              <w:t>非甲烷总烃</w:t>
            </w:r>
          </w:p>
        </w:tc>
        <w:tc>
          <w:tcPr>
            <w:tcW w:w="1755" w:type="dxa"/>
            <w:noWrap w:val="0"/>
            <w:vAlign w:val="center"/>
          </w:tcPr>
          <w:p>
            <w:pPr>
              <w:spacing w:line="240" w:lineRule="auto"/>
              <w:ind w:firstLine="0" w:firstLineChars="0"/>
              <w:jc w:val="center"/>
              <w:rPr>
                <w:rFonts w:hint="default" w:ascii="Times New Roman" w:hAnsi="Times New Roman" w:eastAsia="仿宋" w:cs="Times New Roman"/>
                <w:szCs w:val="21"/>
              </w:rPr>
            </w:pPr>
            <w:r>
              <w:rPr>
                <w:rFonts w:hint="default" w:ascii="Times New Roman" w:hAnsi="Times New Roman" w:eastAsia="仿宋" w:cs="Times New Roman"/>
                <w:bCs/>
                <w:color w:val="auto"/>
                <w:sz w:val="21"/>
                <w:szCs w:val="21"/>
                <w:highlight w:val="none"/>
                <w:lang w:val="en-US" w:eastAsia="zh-CN"/>
              </w:rPr>
              <w:t>加强车间通风</w:t>
            </w:r>
          </w:p>
        </w:tc>
        <w:tc>
          <w:tcPr>
            <w:tcW w:w="1757" w:type="dxa"/>
            <w:noWrap w:val="0"/>
            <w:vAlign w:val="center"/>
          </w:tcPr>
          <w:p>
            <w:pPr>
              <w:spacing w:line="240" w:lineRule="auto"/>
              <w:ind w:firstLine="0" w:firstLineChars="0"/>
              <w:jc w:val="center"/>
              <w:rPr>
                <w:rFonts w:hint="default" w:ascii="Times New Roman" w:hAnsi="Times New Roman" w:eastAsia="仿宋" w:cs="Times New Roman"/>
                <w:szCs w:val="21"/>
              </w:rPr>
            </w:pP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大气污染物综合排放标准》（</w:t>
            </w:r>
            <w:r>
              <w:rPr>
                <w:rFonts w:hint="eastAsia" w:eastAsia="仿宋" w:cs="Times New Roman"/>
                <w:color w:val="auto"/>
                <w:sz w:val="21"/>
                <w:szCs w:val="21"/>
                <w:highlight w:val="none"/>
                <w:lang w:eastAsia="zh-CN"/>
              </w:rPr>
              <w:t>DB32/4041-2021</w:t>
            </w:r>
            <w:r>
              <w:rPr>
                <w:rFonts w:hint="default" w:ascii="Times New Roman" w:hAnsi="Times New Roman" w:eastAsia="仿宋" w:cs="Times New Roman"/>
                <w:color w:val="auto"/>
                <w:sz w:val="21"/>
                <w:szCs w:val="21"/>
                <w:highlight w:val="none"/>
              </w:rPr>
              <w:t>）表</w:t>
            </w:r>
            <w:r>
              <w:rPr>
                <w:rFonts w:hint="eastAsia" w:eastAsia="仿宋" w:cs="Times New Roman"/>
                <w:color w:val="auto"/>
                <w:sz w:val="21"/>
                <w:szCs w:val="21"/>
                <w:highlight w:val="none"/>
                <w:lang w:val="en-US" w:eastAsia="zh-CN"/>
              </w:rPr>
              <w:t>3</w:t>
            </w:r>
            <w:r>
              <w:rPr>
                <w:rFonts w:hint="default" w:ascii="Times New Roman" w:hAnsi="Times New Roman" w:eastAsia="仿宋" w:cs="Times New Roman"/>
                <w:color w:val="auto"/>
                <w:sz w:val="21"/>
                <w:szCs w:val="21"/>
                <w:highlight w:val="none"/>
              </w:rPr>
              <w:t>中无组织排放限值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r>
              <w:rPr>
                <w:rFonts w:hint="eastAsia" w:ascii="仿宋" w:hAnsi="仿宋" w:eastAsia="仿宋" w:cs="仿宋"/>
                <w:szCs w:val="21"/>
              </w:rPr>
              <w:t>地表水环境</w:t>
            </w:r>
          </w:p>
        </w:tc>
        <w:tc>
          <w:tcPr>
            <w:tcW w:w="1755"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default" w:ascii="仿宋" w:hAnsi="仿宋" w:eastAsia="仿宋" w:cs="仿宋"/>
                <w:szCs w:val="21"/>
                <w:lang w:val="en-US" w:eastAsia="zh-CN"/>
              </w:rPr>
            </w:pPr>
            <w:r>
              <w:rPr>
                <w:rFonts w:hint="eastAsia" w:ascii="仿宋" w:hAnsi="仿宋" w:eastAsia="仿宋" w:cs="仿宋"/>
                <w:szCs w:val="21"/>
                <w:lang w:val="en-US" w:eastAsia="zh-CN"/>
              </w:rPr>
              <w:t>生活污水排放口</w:t>
            </w:r>
          </w:p>
        </w:tc>
        <w:tc>
          <w:tcPr>
            <w:tcW w:w="1755" w:type="dxa"/>
            <w:noWrap w:val="0"/>
            <w:vAlign w:val="center"/>
          </w:tcPr>
          <w:p>
            <w:pPr>
              <w:spacing w:line="240" w:lineRule="auto"/>
              <w:ind w:firstLine="0" w:firstLineChars="0"/>
              <w:jc w:val="center"/>
              <w:rPr>
                <w:rFonts w:hint="default" w:ascii="Times New Roman" w:hAnsi="Times New Roman" w:eastAsia="仿宋" w:cs="Times New Roman"/>
                <w:szCs w:val="21"/>
              </w:rPr>
            </w:pPr>
            <w:r>
              <w:rPr>
                <w:rFonts w:hint="eastAsia" w:eastAsia="仿宋" w:cs="Times New Roman"/>
                <w:bCs/>
                <w:color w:val="auto"/>
                <w:sz w:val="21"/>
                <w:szCs w:val="21"/>
                <w:highlight w:val="none"/>
                <w:lang w:val="en-US" w:eastAsia="zh-CN"/>
              </w:rPr>
              <w:t>pH、</w:t>
            </w:r>
            <w:r>
              <w:rPr>
                <w:rFonts w:hint="default" w:ascii="Times New Roman" w:hAnsi="Times New Roman" w:eastAsia="仿宋" w:cs="Times New Roman"/>
                <w:bCs/>
                <w:color w:val="auto"/>
                <w:sz w:val="21"/>
                <w:szCs w:val="21"/>
                <w:highlight w:val="none"/>
              </w:rPr>
              <w:t>COD、SS、NH</w:t>
            </w:r>
            <w:r>
              <w:rPr>
                <w:rFonts w:hint="default" w:ascii="Times New Roman" w:hAnsi="Times New Roman" w:eastAsia="仿宋" w:cs="Times New Roman"/>
                <w:bCs/>
                <w:color w:val="auto"/>
                <w:sz w:val="21"/>
                <w:szCs w:val="21"/>
                <w:highlight w:val="none"/>
                <w:vertAlign w:val="subscript"/>
              </w:rPr>
              <w:t>3</w:t>
            </w:r>
            <w:r>
              <w:rPr>
                <w:rFonts w:hint="default" w:ascii="Times New Roman" w:hAnsi="Times New Roman" w:eastAsia="仿宋" w:cs="Times New Roman"/>
                <w:bCs/>
                <w:color w:val="auto"/>
                <w:sz w:val="21"/>
                <w:szCs w:val="21"/>
                <w:highlight w:val="none"/>
              </w:rPr>
              <w:t>-N、TP、TN</w:t>
            </w:r>
          </w:p>
        </w:tc>
        <w:tc>
          <w:tcPr>
            <w:tcW w:w="1755" w:type="dxa"/>
            <w:noWrap w:val="0"/>
            <w:vAlign w:val="center"/>
          </w:tcPr>
          <w:p>
            <w:pPr>
              <w:spacing w:line="240" w:lineRule="auto"/>
              <w:ind w:firstLine="0" w:firstLineChars="0"/>
              <w:jc w:val="center"/>
              <w:rPr>
                <w:rFonts w:hint="default" w:ascii="Times New Roman" w:hAnsi="Times New Roman" w:eastAsia="仿宋" w:cs="Times New Roman"/>
                <w:szCs w:val="21"/>
              </w:rPr>
            </w:pPr>
            <w:r>
              <w:rPr>
                <w:rFonts w:hint="default" w:ascii="Times New Roman" w:hAnsi="Times New Roman" w:eastAsia="仿宋" w:cs="Times New Roman"/>
                <w:bCs/>
                <w:color w:val="auto"/>
                <w:sz w:val="21"/>
                <w:szCs w:val="21"/>
                <w:highlight w:val="none"/>
              </w:rPr>
              <w:t>化粪池处理</w:t>
            </w:r>
          </w:p>
        </w:tc>
        <w:tc>
          <w:tcPr>
            <w:tcW w:w="1757" w:type="dxa"/>
            <w:noWrap w:val="0"/>
            <w:vAlign w:val="center"/>
          </w:tcPr>
          <w:p>
            <w:pPr>
              <w:spacing w:line="240" w:lineRule="auto"/>
              <w:ind w:firstLine="0" w:firstLineChars="0"/>
              <w:jc w:val="center"/>
              <w:rPr>
                <w:rFonts w:hint="default" w:ascii="Times New Roman" w:hAnsi="Times New Roman" w:eastAsia="仿宋" w:cs="Times New Roman"/>
                <w:szCs w:val="21"/>
              </w:rPr>
            </w:pPr>
            <w:r>
              <w:rPr>
                <w:rFonts w:hint="default" w:ascii="Times New Roman" w:hAnsi="Times New Roman" w:eastAsia="仿宋" w:cs="Times New Roman"/>
                <w:color w:val="auto"/>
                <w:sz w:val="21"/>
                <w:szCs w:val="21"/>
                <w:highlight w:val="none"/>
              </w:rPr>
              <w:t>达到污水处理厂接管水质标准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r>
              <w:rPr>
                <w:rFonts w:hint="eastAsia" w:ascii="仿宋" w:hAnsi="仿宋" w:eastAsia="仿宋" w:cs="仿宋"/>
                <w:szCs w:val="21"/>
              </w:rPr>
              <w:t>声环境</w:t>
            </w:r>
          </w:p>
        </w:tc>
        <w:tc>
          <w:tcPr>
            <w:tcW w:w="1755" w:type="dxa"/>
            <w:vMerge w:val="restart"/>
            <w:noWrap w:val="0"/>
            <w:vAlign w:val="center"/>
          </w:tcPr>
          <w:p>
            <w:pPr>
              <w:widowControl/>
              <w:spacing w:line="240" w:lineRule="auto"/>
              <w:ind w:firstLine="0" w:firstLine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生产车间</w:t>
            </w: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箱式电阻炉</w:t>
            </w:r>
          </w:p>
        </w:tc>
        <w:tc>
          <w:tcPr>
            <w:tcW w:w="1755" w:type="dxa"/>
            <w:vMerge w:val="restart"/>
            <w:noWrap w:val="0"/>
            <w:vAlign w:val="center"/>
          </w:tcPr>
          <w:p>
            <w:pPr>
              <w:pStyle w:val="40"/>
              <w:ind w:firstLine="0" w:firstLineChars="0"/>
              <w:rPr>
                <w:rFonts w:hint="default" w:ascii="仿宋" w:hAnsi="仿宋" w:eastAsia="仿宋" w:cs="仿宋"/>
                <w:szCs w:val="21"/>
                <w:lang w:val="en-US"/>
              </w:rPr>
            </w:pPr>
            <w:r>
              <w:rPr>
                <w:rFonts w:hint="eastAsia" w:eastAsia="仿宋" w:cs="Times New Roman"/>
                <w:color w:val="auto"/>
                <w:sz w:val="21"/>
                <w:szCs w:val="21"/>
                <w:highlight w:val="none"/>
                <w:lang w:val="en-US" w:eastAsia="zh-CN"/>
              </w:rPr>
              <w:t>距离衰减、厂房隔音</w:t>
            </w:r>
          </w:p>
        </w:tc>
        <w:tc>
          <w:tcPr>
            <w:tcW w:w="1757" w:type="dxa"/>
            <w:vMerge w:val="restart"/>
            <w:noWrap w:val="0"/>
            <w:vAlign w:val="center"/>
          </w:tcPr>
          <w:p>
            <w:pPr>
              <w:spacing w:line="240" w:lineRule="auto"/>
              <w:ind w:firstLine="0" w:firstLineChars="0"/>
              <w:jc w:val="center"/>
              <w:rPr>
                <w:rFonts w:hint="default" w:ascii="仿宋" w:hAnsi="仿宋" w:eastAsia="仿宋" w:cs="仿宋"/>
                <w:szCs w:val="21"/>
                <w:lang w:val="en-US"/>
              </w:rPr>
            </w:pPr>
            <w:r>
              <w:rPr>
                <w:rFonts w:hint="eastAsia" w:eastAsia="仿宋" w:cs="Times New Roman"/>
                <w:kern w:val="0"/>
                <w:sz w:val="21"/>
                <w:szCs w:val="21"/>
                <w:lang w:val="en-US" w:eastAsia="zh-CN"/>
              </w:rPr>
              <w:t>北、东厂界执行</w:t>
            </w:r>
            <w:r>
              <w:rPr>
                <w:rFonts w:hint="eastAsia" w:ascii="Times New Roman" w:hAnsi="Times New Roman" w:eastAsia="仿宋" w:cs="Times New Roman"/>
                <w:kern w:val="0"/>
                <w:sz w:val="21"/>
                <w:szCs w:val="21"/>
                <w:lang w:val="en-US" w:eastAsia="zh-CN"/>
              </w:rPr>
              <w:t>《工业企业厂界环境噪声排放标准》（GB12348-2008）</w:t>
            </w:r>
            <w:r>
              <w:rPr>
                <w:rFonts w:hint="eastAsia" w:eastAsia="仿宋" w:cs="Times New Roman"/>
                <w:kern w:val="0"/>
                <w:sz w:val="21"/>
                <w:szCs w:val="21"/>
                <w:lang w:val="en-US" w:eastAsia="zh-CN"/>
              </w:rPr>
              <w:t>2</w:t>
            </w:r>
            <w:r>
              <w:rPr>
                <w:rFonts w:hint="eastAsia" w:ascii="Times New Roman" w:hAnsi="Times New Roman" w:eastAsia="仿宋" w:cs="Times New Roman"/>
                <w:kern w:val="0"/>
                <w:sz w:val="21"/>
                <w:szCs w:val="21"/>
                <w:lang w:val="en-US" w:eastAsia="zh-CN"/>
              </w:rPr>
              <w:t>类标准</w:t>
            </w:r>
            <w:r>
              <w:rPr>
                <w:rFonts w:hint="eastAsia" w:eastAsia="仿宋" w:cs="Times New Roman"/>
                <w:kern w:val="0"/>
                <w:sz w:val="21"/>
                <w:szCs w:val="21"/>
                <w:lang w:val="en-US" w:eastAsia="zh-CN"/>
              </w:rPr>
              <w:t>；西、南厂界执行其中4类标准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5" w:type="dxa"/>
            <w:vMerge w:val="continue"/>
            <w:noWrap w:val="0"/>
            <w:vAlign w:val="center"/>
          </w:tcPr>
          <w:p>
            <w:pPr>
              <w:widowControl/>
              <w:spacing w:line="240" w:lineRule="auto"/>
              <w:ind w:firstLine="0" w:firstLineChars="0"/>
              <w:jc w:val="center"/>
              <w:textAlignment w:val="center"/>
            </w:pP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井式淬火炉</w:t>
            </w:r>
          </w:p>
        </w:tc>
        <w:tc>
          <w:tcPr>
            <w:tcW w:w="1755" w:type="dxa"/>
            <w:vMerge w:val="continue"/>
            <w:noWrap w:val="0"/>
            <w:vAlign w:val="center"/>
          </w:tcPr>
          <w:p>
            <w:pPr>
              <w:pStyle w:val="40"/>
              <w:ind w:firstLine="0" w:firstLineChars="0"/>
              <w:rPr>
                <w:rFonts w:hint="eastAsia" w:ascii="仿宋" w:hAnsi="仿宋" w:eastAsia="仿宋" w:cs="仿宋"/>
                <w:szCs w:val="21"/>
              </w:rPr>
            </w:pPr>
          </w:p>
        </w:tc>
        <w:tc>
          <w:tcPr>
            <w:tcW w:w="1757" w:type="dxa"/>
            <w:vMerge w:val="continue"/>
            <w:noWrap w:val="0"/>
            <w:vAlign w:val="center"/>
          </w:tcPr>
          <w:p>
            <w:pPr>
              <w:spacing w:line="240" w:lineRule="auto"/>
              <w:ind w:firstLine="0" w:firstLineChars="0"/>
              <w:jc w:val="center"/>
              <w:rPr>
                <w:rFonts w:hint="eastAsia" w:ascii="仿宋" w:hAnsi="仿宋" w:eastAsia="仿宋" w:cs="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5" w:type="dxa"/>
            <w:vMerge w:val="continue"/>
            <w:noWrap w:val="0"/>
            <w:vAlign w:val="center"/>
          </w:tcPr>
          <w:p>
            <w:pPr>
              <w:widowControl/>
              <w:spacing w:line="240" w:lineRule="auto"/>
              <w:ind w:firstLine="0" w:firstLineChars="0"/>
              <w:jc w:val="center"/>
              <w:textAlignment w:val="center"/>
            </w:pP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井式回火炉</w:t>
            </w:r>
          </w:p>
        </w:tc>
        <w:tc>
          <w:tcPr>
            <w:tcW w:w="1755" w:type="dxa"/>
            <w:vMerge w:val="continue"/>
            <w:noWrap w:val="0"/>
            <w:vAlign w:val="center"/>
          </w:tcPr>
          <w:p>
            <w:pPr>
              <w:pStyle w:val="40"/>
              <w:ind w:firstLine="0" w:firstLineChars="0"/>
              <w:rPr>
                <w:rFonts w:hint="eastAsia" w:ascii="仿宋" w:hAnsi="仿宋" w:eastAsia="仿宋" w:cs="仿宋"/>
                <w:szCs w:val="21"/>
              </w:rPr>
            </w:pPr>
          </w:p>
        </w:tc>
        <w:tc>
          <w:tcPr>
            <w:tcW w:w="1757" w:type="dxa"/>
            <w:vMerge w:val="continue"/>
            <w:noWrap w:val="0"/>
            <w:vAlign w:val="center"/>
          </w:tcPr>
          <w:p>
            <w:pPr>
              <w:spacing w:line="240" w:lineRule="auto"/>
              <w:ind w:firstLine="0" w:firstLineChars="0"/>
              <w:jc w:val="center"/>
              <w:rPr>
                <w:rFonts w:hint="eastAsia" w:ascii="仿宋" w:hAnsi="仿宋" w:eastAsia="仿宋" w:cs="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5" w:type="dxa"/>
            <w:vMerge w:val="continue"/>
            <w:noWrap w:val="0"/>
            <w:vAlign w:val="center"/>
          </w:tcPr>
          <w:p>
            <w:pPr>
              <w:widowControl/>
              <w:spacing w:line="240" w:lineRule="auto"/>
              <w:ind w:firstLine="0" w:firstLineChars="0"/>
              <w:jc w:val="center"/>
              <w:textAlignment w:val="center"/>
            </w:pP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color w:val="000000"/>
                <w:kern w:val="0"/>
                <w:sz w:val="21"/>
                <w:szCs w:val="21"/>
                <w:u w:val="none"/>
                <w:lang w:val="en-US" w:eastAsia="zh-CN" w:bidi="ar"/>
              </w:rPr>
              <w:t>网带炉</w:t>
            </w:r>
          </w:p>
        </w:tc>
        <w:tc>
          <w:tcPr>
            <w:tcW w:w="1755" w:type="dxa"/>
            <w:vMerge w:val="continue"/>
            <w:noWrap w:val="0"/>
            <w:vAlign w:val="center"/>
          </w:tcPr>
          <w:p>
            <w:pPr>
              <w:pStyle w:val="40"/>
              <w:ind w:firstLine="0" w:firstLineChars="0"/>
              <w:rPr>
                <w:rFonts w:hint="eastAsia" w:ascii="仿宋" w:hAnsi="仿宋" w:eastAsia="仿宋" w:cs="仿宋"/>
                <w:szCs w:val="21"/>
              </w:rPr>
            </w:pPr>
          </w:p>
        </w:tc>
        <w:tc>
          <w:tcPr>
            <w:tcW w:w="1757" w:type="dxa"/>
            <w:vMerge w:val="continue"/>
            <w:noWrap w:val="0"/>
            <w:vAlign w:val="center"/>
          </w:tcPr>
          <w:p>
            <w:pPr>
              <w:spacing w:line="240" w:lineRule="auto"/>
              <w:ind w:firstLine="0" w:firstLineChars="0"/>
              <w:jc w:val="center"/>
              <w:rPr>
                <w:rFonts w:hint="eastAsia" w:ascii="仿宋" w:hAnsi="仿宋" w:eastAsia="仿宋" w:cs="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5" w:type="dxa"/>
            <w:vMerge w:val="continue"/>
            <w:noWrap w:val="0"/>
            <w:vAlign w:val="center"/>
          </w:tcPr>
          <w:p>
            <w:pPr>
              <w:widowControl/>
              <w:spacing w:line="240" w:lineRule="auto"/>
              <w:ind w:firstLine="0" w:firstLineChars="0"/>
              <w:jc w:val="center"/>
              <w:textAlignment w:val="center"/>
            </w:pP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压床</w:t>
            </w:r>
          </w:p>
        </w:tc>
        <w:tc>
          <w:tcPr>
            <w:tcW w:w="1755" w:type="dxa"/>
            <w:vMerge w:val="continue"/>
            <w:noWrap w:val="0"/>
            <w:vAlign w:val="center"/>
          </w:tcPr>
          <w:p>
            <w:pPr>
              <w:pStyle w:val="40"/>
              <w:ind w:firstLine="0" w:firstLineChars="0"/>
              <w:rPr>
                <w:rFonts w:hint="eastAsia" w:ascii="仿宋" w:hAnsi="仿宋" w:eastAsia="仿宋" w:cs="仿宋"/>
                <w:szCs w:val="21"/>
              </w:rPr>
            </w:pPr>
          </w:p>
        </w:tc>
        <w:tc>
          <w:tcPr>
            <w:tcW w:w="1757" w:type="dxa"/>
            <w:vMerge w:val="continue"/>
            <w:noWrap w:val="0"/>
            <w:vAlign w:val="center"/>
          </w:tcPr>
          <w:p>
            <w:pPr>
              <w:spacing w:line="240" w:lineRule="auto"/>
              <w:ind w:firstLine="0" w:firstLineChars="0"/>
              <w:jc w:val="center"/>
              <w:rPr>
                <w:rFonts w:hint="eastAsia" w:ascii="仿宋" w:hAnsi="仿宋" w:eastAsia="仿宋" w:cs="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r>
              <w:rPr>
                <w:rFonts w:hint="eastAsia" w:ascii="仿宋" w:hAnsi="仿宋" w:eastAsia="仿宋" w:cs="仿宋"/>
                <w:szCs w:val="21"/>
              </w:rPr>
              <w:t>固体废物</w:t>
            </w:r>
          </w:p>
        </w:tc>
        <w:tc>
          <w:tcPr>
            <w:tcW w:w="1755" w:type="dxa"/>
            <w:noWrap w:val="0"/>
            <w:vAlign w:val="center"/>
          </w:tcPr>
          <w:p>
            <w:pPr>
              <w:spacing w:line="240" w:lineRule="auto"/>
              <w:ind w:firstLine="0" w:firstLineChars="0"/>
              <w:jc w:val="center"/>
              <w:rPr>
                <w:rFonts w:hint="default" w:ascii="Times New Roman" w:hAnsi="Times New Roman" w:eastAsia="仿宋" w:cs="Times New Roman"/>
                <w:szCs w:val="21"/>
              </w:rPr>
            </w:pPr>
            <w:r>
              <w:rPr>
                <w:rFonts w:hint="default" w:ascii="Times New Roman" w:hAnsi="Times New Roman" w:eastAsia="仿宋" w:cs="Times New Roman"/>
                <w:color w:val="auto"/>
                <w:kern w:val="0"/>
                <w:sz w:val="21"/>
                <w:szCs w:val="21"/>
                <w:highlight w:val="none"/>
              </w:rPr>
              <w:t>生活垃圾</w:t>
            </w:r>
          </w:p>
        </w:tc>
        <w:tc>
          <w:tcPr>
            <w:tcW w:w="1755" w:type="dxa"/>
            <w:noWrap w:val="0"/>
            <w:vAlign w:val="center"/>
          </w:tcPr>
          <w:p>
            <w:pPr>
              <w:widowControl/>
              <w:spacing w:line="240" w:lineRule="auto"/>
              <w:ind w:firstLine="0" w:firstLineChars="0"/>
              <w:jc w:val="center"/>
              <w:textAlignment w:val="center"/>
              <w:rPr>
                <w:rFonts w:hint="default" w:ascii="Times New Roman" w:hAnsi="Times New Roman" w:eastAsia="仿宋" w:cs="Times New Roman"/>
                <w:szCs w:val="21"/>
              </w:rPr>
            </w:pPr>
            <w:r>
              <w:rPr>
                <w:rFonts w:hint="default" w:ascii="Times New Roman" w:hAnsi="Times New Roman" w:eastAsia="仿宋" w:cs="Times New Roman"/>
                <w:color w:val="auto"/>
                <w:kern w:val="0"/>
                <w:sz w:val="21"/>
                <w:szCs w:val="21"/>
                <w:highlight w:val="none"/>
                <w:lang w:bidi="ar"/>
              </w:rPr>
              <w:t>生活垃圾</w:t>
            </w:r>
          </w:p>
        </w:tc>
        <w:tc>
          <w:tcPr>
            <w:tcW w:w="1755" w:type="dxa"/>
            <w:noWrap w:val="0"/>
            <w:vAlign w:val="center"/>
          </w:tcPr>
          <w:p>
            <w:pPr>
              <w:spacing w:line="240" w:lineRule="auto"/>
              <w:ind w:firstLine="0" w:firstLineChars="0"/>
              <w:jc w:val="center"/>
              <w:rPr>
                <w:rFonts w:hint="default" w:ascii="Times New Roman" w:hAnsi="Times New Roman" w:eastAsia="仿宋" w:cs="Times New Roman"/>
                <w:szCs w:val="21"/>
              </w:rPr>
            </w:pPr>
            <w:r>
              <w:rPr>
                <w:rFonts w:hint="default" w:ascii="Times New Roman" w:hAnsi="Times New Roman" w:eastAsia="仿宋" w:cs="Times New Roman"/>
                <w:color w:val="auto"/>
                <w:sz w:val="21"/>
                <w:szCs w:val="21"/>
                <w:highlight w:val="none"/>
              </w:rPr>
              <w:t>环卫收集</w:t>
            </w:r>
          </w:p>
        </w:tc>
        <w:tc>
          <w:tcPr>
            <w:tcW w:w="175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default" w:ascii="Times New Roman" w:hAnsi="Times New Roman" w:eastAsia="仿宋" w:cs="Times New Roman"/>
                <w:szCs w:val="21"/>
              </w:rPr>
            </w:pPr>
            <w:r>
              <w:rPr>
                <w:rFonts w:hint="default" w:ascii="Times New Roman" w:hAnsi="Times New Roman" w:eastAsia="仿宋" w:cs="Times New Roman"/>
                <w:color w:val="auto"/>
                <w:sz w:val="21"/>
                <w:szCs w:val="21"/>
                <w:highlight w:val="none"/>
              </w:rPr>
              <w:t>零排放，处置率100%，维护良好的内部环境和城市环境卫生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5" w:type="dxa"/>
            <w:vMerge w:val="restart"/>
            <w:noWrap w:val="0"/>
            <w:vAlign w:val="center"/>
          </w:tcPr>
          <w:p>
            <w:pPr>
              <w:spacing w:line="240" w:lineRule="auto"/>
              <w:ind w:firstLine="0" w:firstLineChars="0"/>
              <w:jc w:val="center"/>
              <w:rPr>
                <w:rFonts w:hint="default" w:ascii="Times New Roman" w:hAnsi="Times New Roman" w:eastAsia="仿宋" w:cs="Times New Roman"/>
                <w:szCs w:val="21"/>
              </w:rPr>
            </w:pPr>
            <w:r>
              <w:rPr>
                <w:rFonts w:hint="default" w:ascii="Times New Roman" w:hAnsi="Times New Roman" w:eastAsia="仿宋" w:cs="Times New Roman"/>
                <w:color w:val="auto"/>
                <w:kern w:val="0"/>
                <w:sz w:val="21"/>
                <w:szCs w:val="21"/>
                <w:highlight w:val="none"/>
                <w:lang w:val="en-US" w:eastAsia="zh-CN"/>
              </w:rPr>
              <w:t>危险废物</w:t>
            </w:r>
          </w:p>
        </w:tc>
        <w:tc>
          <w:tcPr>
            <w:tcW w:w="1755" w:type="dxa"/>
            <w:noWrap w:val="0"/>
            <w:vAlign w:val="center"/>
          </w:tcPr>
          <w:p>
            <w:pPr>
              <w:pStyle w:val="40"/>
              <w:snapToGrid w:val="0"/>
              <w:ind w:firstLine="0" w:firstLineChars="0"/>
              <w:rPr>
                <w:rFonts w:hint="default" w:ascii="Times New Roman" w:hAnsi="Times New Roman" w:eastAsia="仿宋" w:cs="Times New Roman"/>
                <w:szCs w:val="21"/>
              </w:rPr>
            </w:pPr>
            <w:r>
              <w:rPr>
                <w:rFonts w:hint="default" w:ascii="Times New Roman" w:hAnsi="Times New Roman" w:eastAsia="仿宋" w:cs="Times New Roman"/>
                <w:color w:val="auto"/>
                <w:highlight w:val="none"/>
                <w:lang w:val="en-US" w:eastAsia="zh-CN"/>
              </w:rPr>
              <w:t>废UV灯管</w:t>
            </w:r>
          </w:p>
        </w:tc>
        <w:tc>
          <w:tcPr>
            <w:tcW w:w="1755" w:type="dxa"/>
            <w:vMerge w:val="restart"/>
            <w:noWrap w:val="0"/>
            <w:vAlign w:val="center"/>
          </w:tcPr>
          <w:p>
            <w:pPr>
              <w:spacing w:line="240" w:lineRule="auto"/>
              <w:ind w:firstLine="0" w:firstLineChars="0"/>
              <w:jc w:val="center"/>
              <w:rPr>
                <w:rFonts w:hint="eastAsia" w:ascii="仿宋" w:hAnsi="仿宋" w:eastAsia="仿宋" w:cs="仿宋"/>
                <w:szCs w:val="21"/>
              </w:rPr>
            </w:pPr>
            <w:r>
              <w:rPr>
                <w:rFonts w:hint="eastAsia" w:ascii="仿宋" w:hAnsi="仿宋" w:eastAsia="仿宋" w:cs="仿宋"/>
                <w:color w:val="auto"/>
                <w:sz w:val="21"/>
                <w:szCs w:val="21"/>
                <w:highlight w:val="none"/>
                <w:lang w:val="en-US" w:eastAsia="zh-CN"/>
              </w:rPr>
              <w:t>有资质单位处置</w:t>
            </w: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5" w:type="dxa"/>
            <w:vMerge w:val="continue"/>
            <w:noWrap w:val="0"/>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p>
        </w:tc>
        <w:tc>
          <w:tcPr>
            <w:tcW w:w="1755" w:type="dxa"/>
            <w:noWrap w:val="0"/>
            <w:vAlign w:val="center"/>
          </w:tcPr>
          <w:p>
            <w:pPr>
              <w:pStyle w:val="40"/>
              <w:snapToGrid w:val="0"/>
              <w:ind w:firstLine="0" w:firstLineChars="0"/>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highlight w:val="none"/>
                <w:lang w:val="en-US" w:eastAsia="zh-CN"/>
              </w:rPr>
              <w:t>废活性炭</w:t>
            </w:r>
          </w:p>
        </w:tc>
        <w:tc>
          <w:tcPr>
            <w:tcW w:w="17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5" w:type="dxa"/>
            <w:vMerge w:val="continue"/>
            <w:noWrap w:val="0"/>
            <w:vAlign w:val="center"/>
          </w:tcPr>
          <w:p>
            <w:pPr>
              <w:widowControl/>
              <w:spacing w:line="240" w:lineRule="auto"/>
              <w:ind w:firstLine="0" w:firstLineChars="0"/>
              <w:jc w:val="center"/>
              <w:textAlignment w:val="center"/>
              <w:rPr>
                <w:rFonts w:hint="default" w:ascii="Times New Roman" w:hAnsi="Times New Roman" w:eastAsia="仿宋" w:cs="Times New Roman"/>
                <w:szCs w:val="21"/>
              </w:rPr>
            </w:pPr>
          </w:p>
        </w:tc>
        <w:tc>
          <w:tcPr>
            <w:tcW w:w="1755" w:type="dxa"/>
            <w:noWrap w:val="0"/>
            <w:vAlign w:val="center"/>
          </w:tcPr>
          <w:p>
            <w:pPr>
              <w:pStyle w:val="40"/>
              <w:snapToGrid w:val="0"/>
              <w:ind w:firstLine="0" w:firstLineChars="0"/>
              <w:rPr>
                <w:rFonts w:hint="default" w:ascii="Times New Roman" w:hAnsi="Times New Roman" w:eastAsia="仿宋" w:cs="Times New Roman"/>
                <w:szCs w:val="21"/>
              </w:rPr>
            </w:pPr>
            <w:r>
              <w:rPr>
                <w:rFonts w:hint="default" w:ascii="Times New Roman" w:hAnsi="Times New Roman" w:eastAsia="仿宋" w:cs="Times New Roman"/>
                <w:color w:val="auto"/>
                <w:highlight w:val="none"/>
                <w:lang w:val="en-US" w:eastAsia="zh-CN"/>
              </w:rPr>
              <w:t>废油桶</w:t>
            </w:r>
          </w:p>
        </w:tc>
        <w:tc>
          <w:tcPr>
            <w:tcW w:w="17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5" w:type="dxa"/>
            <w:vMerge w:val="continue"/>
            <w:noWrap w:val="0"/>
            <w:vAlign w:val="center"/>
          </w:tcPr>
          <w:p>
            <w:pPr>
              <w:widowControl/>
              <w:spacing w:line="240" w:lineRule="auto"/>
              <w:ind w:firstLine="0" w:firstLineChars="0"/>
              <w:jc w:val="center"/>
              <w:textAlignment w:val="center"/>
              <w:rPr>
                <w:rFonts w:hint="default" w:ascii="Times New Roman" w:hAnsi="Times New Roman" w:eastAsia="仿宋" w:cs="Times New Roman"/>
                <w:szCs w:val="21"/>
              </w:rPr>
            </w:pPr>
          </w:p>
        </w:tc>
        <w:tc>
          <w:tcPr>
            <w:tcW w:w="1755" w:type="dxa"/>
            <w:noWrap w:val="0"/>
            <w:vAlign w:val="center"/>
          </w:tcPr>
          <w:p>
            <w:pPr>
              <w:pStyle w:val="40"/>
              <w:snapToGrid w:val="0"/>
              <w:ind w:firstLine="0" w:firstLineChars="0"/>
              <w:rPr>
                <w:rFonts w:hint="default" w:ascii="Times New Roman" w:hAnsi="Times New Roman" w:eastAsia="仿宋" w:cs="Times New Roman"/>
                <w:szCs w:val="21"/>
              </w:rPr>
            </w:pPr>
            <w:r>
              <w:rPr>
                <w:rFonts w:hint="default" w:ascii="Times New Roman" w:hAnsi="Times New Roman" w:eastAsia="仿宋" w:cs="Times New Roman"/>
                <w:color w:val="auto"/>
                <w:highlight w:val="none"/>
                <w:lang w:val="en-US" w:eastAsia="zh-CN"/>
              </w:rPr>
              <w:t>废抹布、手套</w:t>
            </w:r>
          </w:p>
        </w:tc>
        <w:tc>
          <w:tcPr>
            <w:tcW w:w="17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5" w:type="dxa"/>
            <w:vMerge w:val="continue"/>
            <w:noWrap w:val="0"/>
            <w:vAlign w:val="center"/>
          </w:tcPr>
          <w:p>
            <w:pPr>
              <w:widowControl/>
              <w:spacing w:line="240" w:lineRule="auto"/>
              <w:ind w:firstLine="0" w:firstLineChars="0"/>
              <w:jc w:val="center"/>
              <w:textAlignment w:val="center"/>
              <w:rPr>
                <w:rFonts w:hint="default" w:ascii="Times New Roman" w:hAnsi="Times New Roman" w:eastAsia="仿宋" w:cs="Times New Roman"/>
                <w:szCs w:val="21"/>
              </w:rPr>
            </w:pPr>
          </w:p>
        </w:tc>
        <w:tc>
          <w:tcPr>
            <w:tcW w:w="1755"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szCs w:val="21"/>
              </w:rPr>
            </w:pPr>
            <w:r>
              <w:rPr>
                <w:rFonts w:hint="eastAsia" w:eastAsia="仿宋" w:cs="Times New Roman"/>
                <w:color w:val="auto"/>
                <w:sz w:val="21"/>
                <w:szCs w:val="21"/>
                <w:highlight w:val="none"/>
                <w:lang w:val="en-US" w:eastAsia="zh-CN"/>
              </w:rPr>
              <w:t>废油渣</w:t>
            </w:r>
          </w:p>
        </w:tc>
        <w:tc>
          <w:tcPr>
            <w:tcW w:w="17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5" w:type="dxa"/>
            <w:vMerge w:val="continue"/>
            <w:noWrap w:val="0"/>
            <w:vAlign w:val="center"/>
          </w:tcPr>
          <w:p>
            <w:pPr>
              <w:widowControl/>
              <w:spacing w:line="240" w:lineRule="auto"/>
              <w:ind w:firstLine="0" w:firstLineChars="0"/>
              <w:jc w:val="center"/>
              <w:textAlignment w:val="center"/>
              <w:rPr>
                <w:rFonts w:hint="default" w:ascii="Times New Roman" w:hAnsi="Times New Roman" w:eastAsia="仿宋" w:cs="Times New Roman"/>
                <w:szCs w:val="21"/>
              </w:rPr>
            </w:pPr>
          </w:p>
        </w:tc>
        <w:tc>
          <w:tcPr>
            <w:tcW w:w="1755" w:type="dxa"/>
            <w:noWrap w:val="0"/>
            <w:vAlign w:val="center"/>
          </w:tcPr>
          <w:p>
            <w:pPr>
              <w:pStyle w:val="40"/>
              <w:snapToGrid w:val="0"/>
              <w:ind w:firstLine="0" w:firstLineChars="0"/>
              <w:rPr>
                <w:rFonts w:hint="default" w:ascii="Times New Roman" w:hAnsi="Times New Roman" w:eastAsia="仿宋" w:cs="Times New Roman"/>
                <w:szCs w:val="21"/>
                <w:lang w:val="en-US"/>
              </w:rPr>
            </w:pPr>
            <w:r>
              <w:rPr>
                <w:rFonts w:hint="default" w:ascii="Times New Roman" w:hAnsi="Times New Roman" w:eastAsia="仿宋" w:cs="Times New Roman"/>
                <w:color w:val="auto"/>
                <w:highlight w:val="none"/>
                <w:lang w:val="en-US" w:eastAsia="zh-CN"/>
              </w:rPr>
              <w:t>废甲醇桶</w:t>
            </w:r>
          </w:p>
        </w:tc>
        <w:tc>
          <w:tcPr>
            <w:tcW w:w="17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c>
          <w:tcPr>
            <w:tcW w:w="17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r>
              <w:rPr>
                <w:rFonts w:hint="eastAsia" w:ascii="仿宋" w:hAnsi="仿宋" w:eastAsia="仿宋" w:cs="仿宋"/>
                <w:szCs w:val="21"/>
              </w:rPr>
              <w:t>土壤及地下水</w:t>
            </w:r>
          </w:p>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r>
              <w:rPr>
                <w:rFonts w:hint="eastAsia" w:ascii="仿宋" w:hAnsi="仿宋" w:eastAsia="仿宋" w:cs="仿宋"/>
                <w:szCs w:val="21"/>
              </w:rPr>
              <w:t>污染防治措施</w:t>
            </w:r>
          </w:p>
        </w:tc>
        <w:tc>
          <w:tcPr>
            <w:tcW w:w="7022" w:type="dxa"/>
            <w:gridSpan w:val="4"/>
            <w:noWrap w:val="0"/>
            <w:vAlign w:val="center"/>
          </w:tcPr>
          <w:p>
            <w:pP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源头控制措施</w:t>
            </w:r>
          </w:p>
          <w:p>
            <w:pP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从原料和产品储存、装卸、运输、生产过程、污染处理装置等全过程控制各种有毒有害原辅材料、中间材料、产品泄漏（含跑、冒、滴、漏），即从源头到末端全方位采取控制措施，防止项目的建设对土壤造成污染。</w:t>
            </w:r>
          </w:p>
          <w:p>
            <w:pP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过程控制措施</w:t>
            </w:r>
          </w:p>
          <w:p>
            <w:pP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从大气沉降进行控制。</w:t>
            </w:r>
          </w:p>
          <w:p>
            <w:pP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①大气沉降污染途径治理措施及效果</w:t>
            </w:r>
          </w:p>
          <w:p>
            <w:pP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本项目针对各类废气污染物均采取了对应的治理措施，确保污染物达标排放，具体措施如下：</w:t>
            </w:r>
          </w:p>
          <w:p>
            <w:pP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本项目</w:t>
            </w:r>
            <w:r>
              <w:rPr>
                <w:rFonts w:hint="eastAsia" w:eastAsia="仿宋" w:cs="Times New Roman"/>
                <w:color w:val="000000" w:themeColor="text1"/>
                <w:sz w:val="21"/>
                <w:szCs w:val="21"/>
                <w:highlight w:val="none"/>
                <w:lang w:val="en-US" w:eastAsia="zh-CN"/>
                <w14:textFill>
                  <w14:solidFill>
                    <w14:schemeClr w14:val="tx1"/>
                  </w14:solidFill>
                </w14:textFill>
              </w:rPr>
              <w:t>甲醇挥发量</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极少，不进行定量分析，在生产车间内采用加强通风等措施；</w:t>
            </w:r>
          </w:p>
          <w:p>
            <w:pPr>
              <w:keepNext w:val="0"/>
              <w:keepLines w:val="0"/>
              <w:pageBreakBefore w:val="0"/>
              <w:widowControl w:val="0"/>
              <w:kinsoku/>
              <w:wordWrap/>
              <w:overflowPunct/>
              <w:topLinePunct w:val="0"/>
              <w:autoSpaceDE/>
              <w:autoSpaceDN/>
              <w:bidi w:val="0"/>
              <w:adjustRightInd/>
              <w:snapToGrid/>
              <w:spacing w:line="312" w:lineRule="exact"/>
              <w:jc w:val="both"/>
              <w:textAlignment w:val="auto"/>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pPr>
            <w:r>
              <w:rPr>
                <w:rFonts w:hint="eastAsia" w:eastAsia="仿宋" w:cs="Times New Roman"/>
                <w:color w:val="000000" w:themeColor="text1"/>
                <w:sz w:val="21"/>
                <w:szCs w:val="21"/>
                <w:highlight w:val="none"/>
                <w:lang w:val="en-US" w:eastAsia="zh-CN"/>
                <w14:textFill>
                  <w14:solidFill>
                    <w14:schemeClr w14:val="tx1"/>
                  </w14:solidFill>
                </w14:textFill>
              </w:rPr>
              <w:t>淬火、回火</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挥发产生的</w:t>
            </w:r>
            <w:r>
              <w:rPr>
                <w:rFonts w:hint="eastAsia" w:eastAsia="仿宋" w:cs="Times New Roman"/>
                <w:color w:val="000000" w:themeColor="text1"/>
                <w:sz w:val="21"/>
                <w:szCs w:val="21"/>
                <w:highlight w:val="none"/>
                <w:lang w:val="en-US" w:eastAsia="zh-CN"/>
                <w14:textFill>
                  <w14:solidFill>
                    <w14:schemeClr w14:val="tx1"/>
                  </w14:solidFill>
                </w14:textFill>
              </w:rPr>
              <w:t>有机</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废气经集气罩收集后</w:t>
            </w:r>
            <w:r>
              <w:rPr>
                <w:rFonts w:hint="eastAsia" w:eastAsia="仿宋" w:cs="Times New Roman"/>
                <w:color w:val="000000" w:themeColor="text1"/>
                <w:sz w:val="21"/>
                <w:szCs w:val="21"/>
                <w:highlight w:val="none"/>
                <w:lang w:val="en-US" w:eastAsia="zh-CN"/>
                <w14:textFill>
                  <w14:solidFill>
                    <w14:schemeClr w14:val="tx1"/>
                  </w14:solidFill>
                </w14:textFill>
              </w:rPr>
              <w:t>经UV光氧化</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＋活性炭吸附处理后由</w:t>
            </w:r>
            <w:r>
              <w:rPr>
                <w:rFonts w:hint="eastAsia" w:eastAsia="仿宋"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m高</w:t>
            </w:r>
            <w:r>
              <w:rPr>
                <w:rFonts w:hint="eastAsia" w:eastAsia="仿宋"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排气筒排放</w:t>
            </w:r>
            <w:r>
              <w:rPr>
                <w:rFonts w:hint="default" w:ascii="Times New Roman" w:hAnsi="Times New Roman" w:eastAsia="仿宋" w:cs="Times New Roman"/>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12" w:lineRule="exact"/>
              <w:jc w:val="left"/>
              <w:textAlignment w:val="auto"/>
              <w:rPr>
                <w:rFonts w:hint="default" w:ascii="仿宋" w:hAnsi="仿宋" w:eastAsia="仿宋" w:cs="仿宋"/>
                <w:szCs w:val="21"/>
                <w:lang w:val="en-US" w:eastAsia="zh-CN"/>
              </w:rPr>
            </w:pPr>
            <w:r>
              <w:rPr>
                <w:rFonts w:hint="eastAsia" w:ascii="仿宋" w:hAnsi="仿宋" w:eastAsia="仿宋" w:cs="仿宋"/>
                <w:szCs w:val="21"/>
                <w:lang w:val="en-US" w:eastAsia="zh-CN"/>
              </w:rPr>
              <w:t>危化品库、危废仓库采取防腐防渗等措施。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rPr>
            </w:pPr>
            <w:r>
              <w:rPr>
                <w:rFonts w:hint="eastAsia" w:ascii="仿宋" w:hAnsi="仿宋" w:eastAsia="仿宋" w:cs="仿宋"/>
                <w:szCs w:val="21"/>
              </w:rPr>
              <w:t>生态保护措施</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zCs w:val="21"/>
                <w:lang w:val="en-US" w:eastAsia="zh-CN"/>
              </w:rPr>
            </w:pPr>
            <w:r>
              <w:rPr>
                <w:rFonts w:hint="eastAsia" w:ascii="仿宋" w:hAnsi="仿宋" w:eastAsia="仿宋" w:cs="仿宋"/>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pacing w:val="-8"/>
                <w:szCs w:val="21"/>
              </w:rPr>
            </w:pPr>
            <w:r>
              <w:rPr>
                <w:rFonts w:hint="eastAsia" w:ascii="仿宋" w:hAnsi="仿宋" w:eastAsia="仿宋" w:cs="仿宋"/>
                <w:spacing w:val="-8"/>
                <w:szCs w:val="21"/>
              </w:rPr>
              <w:t>环境风险</w:t>
            </w:r>
          </w:p>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pacing w:val="-8"/>
                <w:szCs w:val="21"/>
              </w:rPr>
            </w:pPr>
            <w:r>
              <w:rPr>
                <w:rFonts w:hint="eastAsia" w:ascii="仿宋" w:hAnsi="仿宋" w:eastAsia="仿宋" w:cs="仿宋"/>
                <w:spacing w:val="-8"/>
                <w:szCs w:val="21"/>
              </w:rPr>
              <w:t>防范措施</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both"/>
              <w:textAlignment w:val="auto"/>
              <w:rPr>
                <w:rFonts w:hint="eastAsia" w:ascii="仿宋" w:hAnsi="仿宋" w:eastAsia="仿宋" w:cs="仿宋"/>
                <w:szCs w:val="21"/>
              </w:rPr>
            </w:pPr>
            <w:r>
              <w:rPr>
                <w:rFonts w:hint="eastAsia" w:ascii="仿宋" w:hAnsi="仿宋" w:eastAsia="仿宋" w:cs="仿宋"/>
                <w:szCs w:val="21"/>
              </w:rPr>
              <w:t>企业应建立严格的消防管理制度，于车间内设置明显的标识牌，重要区域禁止明火，在车间内设置灭火器材，如手提式或推车式干粉灭火器；</w:t>
            </w:r>
          </w:p>
          <w:p>
            <w:pPr>
              <w:keepNext w:val="0"/>
              <w:keepLines w:val="0"/>
              <w:pageBreakBefore w:val="0"/>
              <w:widowControl w:val="0"/>
              <w:kinsoku/>
              <w:wordWrap/>
              <w:overflowPunct/>
              <w:topLinePunct w:val="0"/>
              <w:autoSpaceDE/>
              <w:autoSpaceDN/>
              <w:bidi w:val="0"/>
              <w:adjustRightInd/>
              <w:snapToGrid/>
              <w:spacing w:line="312" w:lineRule="exact"/>
              <w:jc w:val="both"/>
              <w:textAlignment w:val="auto"/>
              <w:rPr>
                <w:rFonts w:hint="eastAsia" w:ascii="仿宋" w:hAnsi="仿宋" w:eastAsia="仿宋" w:cs="仿宋"/>
                <w:szCs w:val="21"/>
              </w:rPr>
            </w:pPr>
            <w:r>
              <w:rPr>
                <w:rFonts w:hint="eastAsia" w:ascii="仿宋" w:hAnsi="仿宋" w:eastAsia="仿宋" w:cs="仿宋"/>
                <w:szCs w:val="21"/>
              </w:rPr>
              <w:t>企业雨污水排口</w:t>
            </w:r>
            <w:r>
              <w:rPr>
                <w:rFonts w:hint="eastAsia" w:ascii="仿宋" w:hAnsi="仿宋" w:eastAsia="仿宋" w:cs="仿宋"/>
                <w:szCs w:val="21"/>
                <w:lang w:val="en-US" w:eastAsia="zh-CN"/>
              </w:rPr>
              <w:t>均已</w:t>
            </w:r>
            <w:r>
              <w:rPr>
                <w:rFonts w:hint="eastAsia" w:ascii="仿宋" w:hAnsi="仿宋" w:eastAsia="仿宋" w:cs="仿宋"/>
                <w:szCs w:val="21"/>
              </w:rPr>
              <w:t>截流阀门，一旦发生突发环境风险事故，应该立即关闭截流阀门，防止污染物扩散至厂外。</w:t>
            </w:r>
          </w:p>
          <w:p>
            <w:pPr>
              <w:keepNext w:val="0"/>
              <w:keepLines w:val="0"/>
              <w:pageBreakBefore w:val="0"/>
              <w:widowControl w:val="0"/>
              <w:kinsoku/>
              <w:wordWrap/>
              <w:overflowPunct/>
              <w:topLinePunct w:val="0"/>
              <w:autoSpaceDE/>
              <w:autoSpaceDN/>
              <w:bidi w:val="0"/>
              <w:adjustRightInd/>
              <w:snapToGrid/>
              <w:spacing w:line="312" w:lineRule="exact"/>
              <w:jc w:val="both"/>
              <w:textAlignment w:val="auto"/>
              <w:rPr>
                <w:rFonts w:hint="eastAsia" w:ascii="仿宋" w:hAnsi="仿宋" w:eastAsia="仿宋" w:cs="仿宋"/>
                <w:szCs w:val="21"/>
              </w:rPr>
            </w:pPr>
            <w:r>
              <w:rPr>
                <w:rFonts w:hint="eastAsia" w:ascii="仿宋" w:hAnsi="仿宋" w:eastAsia="仿宋" w:cs="仿宋"/>
                <w:szCs w:val="21"/>
              </w:rPr>
              <w:t>加强污染防治措施日常管理及维修，确保</w:t>
            </w:r>
            <w:r>
              <w:rPr>
                <w:rFonts w:hint="eastAsia" w:ascii="仿宋" w:hAnsi="仿宋" w:eastAsia="仿宋" w:cs="仿宋"/>
                <w:szCs w:val="21"/>
                <w:lang w:val="en-US" w:eastAsia="zh-CN"/>
              </w:rPr>
              <w:t>全厂</w:t>
            </w:r>
            <w:r>
              <w:rPr>
                <w:rFonts w:hint="eastAsia" w:ascii="仿宋" w:hAnsi="仿宋" w:eastAsia="仿宋" w:cs="仿宋"/>
                <w:szCs w:val="21"/>
              </w:rPr>
              <w:t>废气收集、处理装置正常运行。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pacing w:val="-8"/>
                <w:szCs w:val="21"/>
              </w:rPr>
            </w:pPr>
            <w:r>
              <w:rPr>
                <w:rFonts w:hint="eastAsia" w:ascii="仿宋" w:hAnsi="仿宋" w:eastAsia="仿宋" w:cs="仿宋"/>
                <w:spacing w:val="-8"/>
                <w:szCs w:val="21"/>
              </w:rPr>
              <w:t>其他环境</w:t>
            </w:r>
          </w:p>
          <w:p>
            <w:pPr>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hint="eastAsia" w:ascii="仿宋" w:hAnsi="仿宋" w:eastAsia="仿宋" w:cs="仿宋"/>
                <w:spacing w:val="-8"/>
                <w:szCs w:val="21"/>
              </w:rPr>
            </w:pPr>
            <w:r>
              <w:rPr>
                <w:rFonts w:hint="eastAsia" w:ascii="仿宋" w:hAnsi="仿宋" w:eastAsia="仿宋" w:cs="仿宋"/>
                <w:spacing w:val="-8"/>
                <w:szCs w:val="21"/>
              </w:rPr>
              <w:t>管理要求</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12" w:lineRule="exact"/>
              <w:textAlignment w:val="auto"/>
              <w:rPr>
                <w:rFonts w:hint="eastAsia" w:ascii="仿宋" w:hAnsi="仿宋" w:eastAsia="仿宋" w:cs="仿宋"/>
                <w:szCs w:val="21"/>
                <w:lang w:val="en-US" w:eastAsia="zh-CN"/>
              </w:rPr>
            </w:pPr>
            <w:r>
              <w:rPr>
                <w:rFonts w:hint="eastAsia" w:ascii="Times New Roman" w:hAnsi="Times New Roman" w:eastAsia="仿宋" w:cs="Times New Roman"/>
                <w:kern w:val="0"/>
                <w:sz w:val="21"/>
                <w:szCs w:val="21"/>
                <w:lang w:val="en-US" w:eastAsia="zh-CN"/>
              </w:rPr>
              <w:t>根据《排污单位自行监测技术指南 总则》（HJ819-2017）中的自行监测要求，对各项污染物进行技术监测。</w:t>
            </w:r>
          </w:p>
        </w:tc>
      </w:tr>
    </w:tbl>
    <w:p>
      <w:pPr>
        <w:pStyle w:val="13"/>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hint="eastAsia" w:ascii="Times New Roman" w:hAnsi="Times New Roman" w:eastAsia="仿宋" w:cs="Times New Roman"/>
                <w:kern w:val="0"/>
                <w:sz w:val="24"/>
                <w:szCs w:val="24"/>
                <w:lang w:val="en-US" w:eastAsia="zh-CN"/>
              </w:rPr>
            </w:pPr>
            <w:r>
              <w:rPr>
                <w:rFonts w:hint="eastAsia" w:ascii="Times New Roman" w:hAnsi="Times New Roman" w:eastAsia="仿宋" w:cs="Times New Roman"/>
                <w:kern w:val="0"/>
                <w:sz w:val="24"/>
                <w:szCs w:val="24"/>
                <w:lang w:val="en-US" w:eastAsia="zh-CN"/>
              </w:rPr>
              <w:t>项目符合《建设项目环境保护管理条例》（2017 修订版）的相关要求，基本符合国家及地方有关产业政策；项目基本符合城市总体规划及用地规划要求，选址较合理；本项目采取各项污染防治措施后污染物实现达标排放，所在地的现有环境功能不下降；本项目建成后排放的各类污染物可以在区域内实现平衡；在做好各项风险防范及应急措施的前提下本项目的环境风险在可接受水平内。</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80" w:firstLineChars="200"/>
              <w:jc w:val="both"/>
              <w:textAlignment w:val="auto"/>
              <w:rPr>
                <w:rFonts w:ascii="宋体" w:cs="宋体"/>
                <w:sz w:val="24"/>
              </w:rPr>
            </w:pPr>
            <w:r>
              <w:rPr>
                <w:rFonts w:hint="eastAsia" w:ascii="Times New Roman" w:hAnsi="Times New Roman" w:eastAsia="仿宋" w:cs="Times New Roman"/>
                <w:kern w:val="0"/>
                <w:sz w:val="24"/>
                <w:szCs w:val="24"/>
                <w:lang w:val="en-US" w:eastAsia="zh-CN"/>
              </w:rPr>
              <w:t>因此，落实本报告表提出的各项环保措施要求、严格执行环保“三同时”的前提下，从环保角度分析，本项目建设具有环境可行性。</w:t>
            </w: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552" w:lineRule="auto"/>
        <w:textAlignment w:val="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432" w:lineRule="auto"/>
        <w:jc w:val="center"/>
        <w:textAlignment w:val="auto"/>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7"/>
        <w:gridCol w:w="951"/>
        <w:gridCol w:w="1417"/>
        <w:gridCol w:w="1701"/>
        <w:gridCol w:w="1276"/>
        <w:gridCol w:w="1701"/>
        <w:gridCol w:w="1559"/>
        <w:gridCol w:w="1761"/>
        <w:gridCol w:w="1731"/>
        <w:gridCol w:w="10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tcBorders>
              <w:tl2br w:val="single" w:color="auto" w:sz="4" w:space="0"/>
            </w:tcBorders>
            <w:noWrap w:val="0"/>
            <w:tcMar>
              <w:left w:w="28" w:type="dxa"/>
              <w:right w:w="28" w:type="dxa"/>
            </w:tcMar>
            <w:vAlign w:val="center"/>
          </w:tcPr>
          <w:p>
            <w:pPr>
              <w:pStyle w:val="25"/>
              <w:spacing w:beforeLines="0" w:afterLines="0" w:line="240" w:lineRule="auto"/>
              <w:jc w:val="righ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pPr>
              <w:pStyle w:val="25"/>
              <w:spacing w:beforeLines="0" w:afterLines="0" w:line="240" w:lineRule="auto"/>
              <w:jc w:val="lef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417" w:type="dxa"/>
            <w:noWrap w:val="0"/>
            <w:tcMar>
              <w:left w:w="28" w:type="dxa"/>
              <w:right w:w="28" w:type="dxa"/>
            </w:tcMar>
            <w:vAlign w:val="center"/>
          </w:tcPr>
          <w:p>
            <w:pPr>
              <w:pStyle w:val="25"/>
              <w:spacing w:beforeLines="0" w:afterLines="0" w:line="240" w:lineRule="auto"/>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701" w:type="dxa"/>
            <w:noWrap w:val="0"/>
            <w:tcMar>
              <w:left w:w="28" w:type="dxa"/>
              <w:right w:w="28" w:type="dxa"/>
            </w:tcMar>
            <w:vAlign w:val="center"/>
          </w:tcPr>
          <w:p>
            <w:pPr>
              <w:pStyle w:val="25"/>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2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276" w:type="dxa"/>
            <w:noWrap w:val="0"/>
            <w:tcMar>
              <w:left w:w="28" w:type="dxa"/>
              <w:right w:w="28" w:type="dxa"/>
            </w:tcMar>
            <w:vAlign w:val="center"/>
          </w:tcPr>
          <w:p>
            <w:pPr>
              <w:pStyle w:val="2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2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pPr>
              <w:pStyle w:val="25"/>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701" w:type="dxa"/>
            <w:noWrap w:val="0"/>
            <w:tcMar>
              <w:left w:w="28" w:type="dxa"/>
              <w:right w:w="28" w:type="dxa"/>
            </w:tcMar>
            <w:vAlign w:val="center"/>
          </w:tcPr>
          <w:p>
            <w:pPr>
              <w:pStyle w:val="25"/>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pPr>
              <w:pStyle w:val="2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559" w:type="dxa"/>
            <w:noWrap w:val="0"/>
            <w:tcMar>
              <w:left w:w="28" w:type="dxa"/>
              <w:right w:w="28" w:type="dxa"/>
            </w:tcMar>
            <w:vAlign w:val="center"/>
          </w:tcPr>
          <w:p>
            <w:pPr>
              <w:pStyle w:val="25"/>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pPr>
              <w:pStyle w:val="2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761" w:type="dxa"/>
            <w:noWrap w:val="0"/>
            <w:tcMar>
              <w:left w:w="28" w:type="dxa"/>
              <w:right w:w="28" w:type="dxa"/>
            </w:tcMar>
            <w:vAlign w:val="center"/>
          </w:tcPr>
          <w:p>
            <w:pPr>
              <w:pStyle w:val="25"/>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pPr>
              <w:pStyle w:val="25"/>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731" w:type="dxa"/>
            <w:noWrap w:val="0"/>
            <w:tcMar>
              <w:left w:w="28" w:type="dxa"/>
              <w:right w:w="28" w:type="dxa"/>
            </w:tcMar>
            <w:vAlign w:val="center"/>
          </w:tcPr>
          <w:p>
            <w:pPr>
              <w:pStyle w:val="25"/>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pPr>
              <w:pStyle w:val="25"/>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1054" w:type="dxa"/>
            <w:noWrap w:val="0"/>
            <w:tcMar>
              <w:left w:w="28" w:type="dxa"/>
              <w:right w:w="28" w:type="dxa"/>
            </w:tcMar>
            <w:vAlign w:val="center"/>
          </w:tcPr>
          <w:p>
            <w:pPr>
              <w:pStyle w:val="2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pPr>
              <w:pStyle w:val="2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7" w:type="dxa"/>
            <w:vMerge w:val="restart"/>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snapToGrid w:val="0"/>
                <w:color w:val="000000"/>
                <w:kern w:val="21"/>
                <w:szCs w:val="21"/>
              </w:rPr>
              <w:t>废气</w:t>
            </w:r>
          </w:p>
        </w:tc>
        <w:tc>
          <w:tcPr>
            <w:tcW w:w="951" w:type="dxa"/>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lang w:val="en-US" w:eastAsia="zh-CN"/>
              </w:rPr>
            </w:pPr>
            <w:r>
              <w:rPr>
                <w:rFonts w:hint="default" w:ascii="Times New Roman" w:hAnsi="Times New Roman" w:eastAsia="仿宋" w:cs="Times New Roman"/>
                <w:snapToGrid w:val="0"/>
                <w:color w:val="000000"/>
                <w:kern w:val="21"/>
                <w:szCs w:val="21"/>
                <w:lang w:val="en-US" w:eastAsia="zh-CN"/>
              </w:rPr>
              <w:t>有组织废气</w:t>
            </w:r>
          </w:p>
        </w:tc>
        <w:tc>
          <w:tcPr>
            <w:tcW w:w="1417"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color w:val="auto"/>
                <w:kern w:val="0"/>
                <w:sz w:val="21"/>
                <w:szCs w:val="21"/>
                <w:highlight w:val="none"/>
                <w:lang w:val="en-US" w:eastAsia="zh-CN"/>
              </w:rPr>
              <w:t>非甲烷总烃</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hAnsi="宋体" w:eastAsia="宋体" w:cs="宋体"/>
                <w:snapToGrid w:val="0"/>
                <w:color w:val="000000"/>
                <w:kern w:val="21"/>
                <w:szCs w:val="21"/>
                <w:lang w:val="en-US" w:eastAsia="zh-CN"/>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0.162</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w:t>
            </w:r>
          </w:p>
        </w:tc>
        <w:tc>
          <w:tcPr>
            <w:tcW w:w="17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rPr>
            </w:pPr>
            <w:r>
              <w:rPr>
                <w:rFonts w:hint="eastAsia" w:cs="Times New Roman"/>
                <w:color w:val="auto"/>
                <w:kern w:val="0"/>
                <w:sz w:val="21"/>
                <w:szCs w:val="21"/>
                <w:highlight w:val="none"/>
                <w:lang w:val="en-US" w:eastAsia="zh-CN"/>
              </w:rPr>
              <w:t>0.162</w:t>
            </w:r>
          </w:p>
        </w:tc>
        <w:tc>
          <w:tcPr>
            <w:tcW w:w="10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rPr>
            </w:pPr>
            <w:r>
              <w:rPr>
                <w:rFonts w:hint="eastAsia" w:cs="Times New Roman"/>
                <w:color w:val="auto"/>
                <w:kern w:val="0"/>
                <w:sz w:val="21"/>
                <w:szCs w:val="21"/>
                <w:highlight w:val="none"/>
                <w:lang w:val="en-US" w:eastAsia="zh-CN" w:bidi="ar"/>
              </w:rPr>
              <w:t>+0.162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7" w:type="dxa"/>
            <w:vMerge w:val="continue"/>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p>
        </w:tc>
        <w:tc>
          <w:tcPr>
            <w:tcW w:w="951" w:type="dxa"/>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lang w:val="en-US" w:eastAsia="zh-CN"/>
              </w:rPr>
            </w:pPr>
            <w:r>
              <w:rPr>
                <w:rFonts w:hint="default" w:ascii="Times New Roman" w:hAnsi="Times New Roman" w:eastAsia="仿宋" w:cs="Times New Roman"/>
                <w:snapToGrid w:val="0"/>
                <w:color w:val="000000"/>
                <w:kern w:val="21"/>
                <w:szCs w:val="21"/>
                <w:lang w:val="en-US" w:eastAsia="zh-CN"/>
              </w:rPr>
              <w:t>无组织废气</w:t>
            </w:r>
          </w:p>
        </w:tc>
        <w:tc>
          <w:tcPr>
            <w:tcW w:w="1417"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color w:val="auto"/>
                <w:kern w:val="0"/>
                <w:sz w:val="21"/>
                <w:szCs w:val="21"/>
                <w:highlight w:val="none"/>
                <w:lang w:val="en-US" w:eastAsia="zh-CN"/>
              </w:rPr>
              <w:t>非甲烷总烃</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rPr>
            </w:pPr>
            <w:r>
              <w:rPr>
                <w:rFonts w:hint="eastAsia" w:cs="Times New Roman"/>
                <w:color w:val="auto"/>
                <w:kern w:val="0"/>
                <w:sz w:val="21"/>
                <w:szCs w:val="21"/>
                <w:highlight w:val="none"/>
                <w:lang w:val="en-US" w:eastAsia="zh-CN"/>
              </w:rPr>
              <w:t>0.008</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Ansi="宋体" w:cs="宋体"/>
                <w:snapToGrid w:val="0"/>
                <w:color w:val="000000"/>
                <w:kern w:val="21"/>
                <w:szCs w:val="21"/>
              </w:rPr>
            </w:pPr>
            <w:r>
              <w:rPr>
                <w:rFonts w:hint="eastAsia" w:cs="Times New Roman"/>
                <w:color w:val="auto"/>
                <w:kern w:val="0"/>
                <w:sz w:val="21"/>
                <w:szCs w:val="21"/>
                <w:highlight w:val="none"/>
                <w:lang w:val="en-US" w:eastAsia="zh-CN"/>
              </w:rPr>
              <w:t>0</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0.18</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rPr>
            </w:pPr>
            <w:r>
              <w:rPr>
                <w:rFonts w:hint="eastAsia" w:cs="Times New Roman"/>
                <w:color w:val="auto"/>
                <w:kern w:val="0"/>
                <w:sz w:val="21"/>
                <w:szCs w:val="21"/>
                <w:highlight w:val="none"/>
                <w:lang w:val="en-US" w:eastAsia="zh-CN"/>
              </w:rPr>
              <w:t>0.008</w:t>
            </w:r>
          </w:p>
        </w:tc>
        <w:tc>
          <w:tcPr>
            <w:tcW w:w="17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rPr>
            </w:pPr>
            <w:r>
              <w:rPr>
                <w:rFonts w:hint="eastAsia" w:cs="Times New Roman"/>
                <w:color w:val="auto"/>
                <w:kern w:val="0"/>
                <w:sz w:val="21"/>
                <w:szCs w:val="21"/>
                <w:highlight w:val="none"/>
                <w:lang w:val="en-US" w:eastAsia="zh-CN"/>
              </w:rPr>
              <w:t>0.18</w:t>
            </w:r>
          </w:p>
        </w:tc>
        <w:tc>
          <w:tcPr>
            <w:tcW w:w="10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rPr>
            </w:pPr>
            <w:r>
              <w:rPr>
                <w:rFonts w:hint="eastAsia" w:cs="Times New Roman"/>
                <w:color w:val="auto"/>
                <w:kern w:val="0"/>
                <w:sz w:val="21"/>
                <w:szCs w:val="21"/>
                <w:highlight w:val="none"/>
                <w:lang w:val="en-US" w:eastAsia="zh-CN"/>
              </w:rPr>
              <w:t>+</w:t>
            </w:r>
            <w:r>
              <w:rPr>
                <w:rFonts w:hint="eastAsia"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restart"/>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snapToGrid w:val="0"/>
                <w:color w:val="000000"/>
                <w:kern w:val="21"/>
                <w:szCs w:val="21"/>
              </w:rPr>
              <w:t>废水</w:t>
            </w:r>
          </w:p>
        </w:tc>
        <w:tc>
          <w:tcPr>
            <w:tcW w:w="1417"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color w:val="auto"/>
                <w:kern w:val="0"/>
                <w:sz w:val="21"/>
                <w:szCs w:val="21"/>
                <w:highlight w:val="none"/>
              </w:rPr>
              <w:t>水量</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eastAsia="宋体" w:cs="宋体"/>
                <w:snapToGrid w:val="0"/>
                <w:color w:val="000000"/>
                <w:kern w:val="21"/>
                <w:szCs w:val="21"/>
                <w:lang w:val="en-US" w:eastAsia="zh-CN"/>
              </w:rPr>
            </w:pPr>
            <w:r>
              <w:rPr>
                <w:rFonts w:hint="eastAsia" w:cs="Times New Roman"/>
                <w:color w:val="auto"/>
                <w:kern w:val="0"/>
                <w:sz w:val="21"/>
                <w:szCs w:val="21"/>
                <w:highlight w:val="none"/>
                <w:lang w:val="en-US" w:eastAsia="zh-CN"/>
              </w:rPr>
              <w:t>0</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rPr>
            </w:pPr>
            <w:r>
              <w:rPr>
                <w:rFonts w:hint="eastAsia" w:cs="Times New Roman"/>
                <w:color w:val="auto"/>
                <w:sz w:val="21"/>
                <w:szCs w:val="21"/>
                <w:highlight w:val="none"/>
                <w:lang w:val="en-US" w:eastAsia="zh-CN"/>
              </w:rPr>
              <w:t>192</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w:t>
            </w:r>
          </w:p>
        </w:tc>
        <w:tc>
          <w:tcPr>
            <w:tcW w:w="17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sz w:val="21"/>
                <w:szCs w:val="21"/>
                <w:highlight w:val="none"/>
                <w:lang w:val="en-US" w:eastAsia="zh-CN"/>
              </w:rPr>
              <w:t>192</w:t>
            </w:r>
          </w:p>
        </w:tc>
        <w:tc>
          <w:tcPr>
            <w:tcW w:w="10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sz w:val="21"/>
                <w:szCs w:val="21"/>
                <w:highlight w:val="none"/>
                <w:lang w:val="en-US" w:eastAsia="zh-CN"/>
              </w:rPr>
              <w:t>+192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continue"/>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p>
        </w:tc>
        <w:tc>
          <w:tcPr>
            <w:tcW w:w="1417"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color w:val="auto"/>
                <w:kern w:val="0"/>
                <w:sz w:val="21"/>
                <w:szCs w:val="21"/>
                <w:highlight w:val="none"/>
              </w:rPr>
              <w:t>COD</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default" w:ascii="Times New Roman" w:hAnsi="Times New Roman" w:eastAsia="宋体" w:cs="Times New Roman"/>
                <w:i w:val="0"/>
                <w:color w:val="000000"/>
                <w:kern w:val="0"/>
                <w:sz w:val="21"/>
                <w:szCs w:val="21"/>
                <w:u w:val="none"/>
                <w:lang w:val="en-US" w:eastAsia="zh-CN" w:bidi="ar"/>
              </w:rPr>
              <w:t>0.077</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w:t>
            </w:r>
          </w:p>
        </w:tc>
        <w:tc>
          <w:tcPr>
            <w:tcW w:w="173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default" w:ascii="Times New Roman" w:hAnsi="Times New Roman" w:eastAsia="宋体" w:cs="Times New Roman"/>
                <w:i w:val="0"/>
                <w:color w:val="000000"/>
                <w:kern w:val="0"/>
                <w:sz w:val="21"/>
                <w:szCs w:val="21"/>
                <w:u w:val="none"/>
                <w:lang w:val="en-US" w:eastAsia="zh-CN" w:bidi="ar"/>
              </w:rPr>
              <w:t>0.077</w:t>
            </w:r>
          </w:p>
        </w:tc>
        <w:tc>
          <w:tcPr>
            <w:tcW w:w="105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0.077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continue"/>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p>
        </w:tc>
        <w:tc>
          <w:tcPr>
            <w:tcW w:w="1417"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color w:val="auto"/>
                <w:kern w:val="0"/>
                <w:sz w:val="21"/>
                <w:szCs w:val="21"/>
                <w:highlight w:val="none"/>
              </w:rPr>
              <w:t>SS</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default" w:ascii="Times New Roman" w:hAnsi="Times New Roman" w:eastAsia="宋体" w:cs="Times New Roman"/>
                <w:i w:val="0"/>
                <w:color w:val="000000"/>
                <w:kern w:val="0"/>
                <w:sz w:val="21"/>
                <w:szCs w:val="21"/>
                <w:u w:val="none"/>
                <w:lang w:val="en-US" w:eastAsia="zh-CN" w:bidi="ar"/>
              </w:rPr>
              <w:t>0.058</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w:t>
            </w:r>
          </w:p>
        </w:tc>
        <w:tc>
          <w:tcPr>
            <w:tcW w:w="173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default" w:ascii="Times New Roman" w:hAnsi="Times New Roman" w:eastAsia="宋体" w:cs="Times New Roman"/>
                <w:i w:val="0"/>
                <w:color w:val="000000"/>
                <w:kern w:val="0"/>
                <w:sz w:val="21"/>
                <w:szCs w:val="21"/>
                <w:u w:val="none"/>
                <w:lang w:val="en-US" w:eastAsia="zh-CN" w:bidi="ar"/>
              </w:rPr>
              <w:t>0.058</w:t>
            </w:r>
          </w:p>
        </w:tc>
        <w:tc>
          <w:tcPr>
            <w:tcW w:w="105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0.058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continue"/>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p>
        </w:tc>
        <w:tc>
          <w:tcPr>
            <w:tcW w:w="1417"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color w:val="auto"/>
                <w:kern w:val="0"/>
                <w:sz w:val="21"/>
                <w:szCs w:val="21"/>
                <w:highlight w:val="none"/>
              </w:rPr>
              <w:t>NH</w:t>
            </w:r>
            <w:r>
              <w:rPr>
                <w:rFonts w:hint="default" w:ascii="Times New Roman" w:hAnsi="Times New Roman" w:eastAsia="仿宋" w:cs="Times New Roman"/>
                <w:color w:val="auto"/>
                <w:kern w:val="0"/>
                <w:sz w:val="21"/>
                <w:szCs w:val="21"/>
                <w:highlight w:val="none"/>
                <w:vertAlign w:val="subscript"/>
              </w:rPr>
              <w:t>3</w:t>
            </w:r>
            <w:r>
              <w:rPr>
                <w:rFonts w:hint="default" w:ascii="Times New Roman" w:hAnsi="Times New Roman" w:eastAsia="仿宋" w:cs="Times New Roman"/>
                <w:color w:val="auto"/>
                <w:kern w:val="0"/>
                <w:sz w:val="21"/>
                <w:szCs w:val="21"/>
                <w:highlight w:val="none"/>
              </w:rPr>
              <w:t>-N</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default" w:ascii="Times New Roman" w:hAnsi="Times New Roman" w:eastAsia="宋体" w:cs="Times New Roman"/>
                <w:i w:val="0"/>
                <w:color w:val="000000"/>
                <w:kern w:val="0"/>
                <w:sz w:val="21"/>
                <w:szCs w:val="21"/>
                <w:u w:val="none"/>
                <w:lang w:val="en-US" w:eastAsia="zh-CN" w:bidi="ar"/>
              </w:rPr>
              <w:t>0.006</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w:t>
            </w:r>
          </w:p>
        </w:tc>
        <w:tc>
          <w:tcPr>
            <w:tcW w:w="173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default" w:ascii="Times New Roman" w:hAnsi="Times New Roman" w:eastAsia="宋体" w:cs="Times New Roman"/>
                <w:i w:val="0"/>
                <w:color w:val="000000"/>
                <w:kern w:val="0"/>
                <w:sz w:val="21"/>
                <w:szCs w:val="21"/>
                <w:u w:val="none"/>
                <w:lang w:val="en-US" w:eastAsia="zh-CN" w:bidi="ar"/>
              </w:rPr>
              <w:t>0.006</w:t>
            </w:r>
          </w:p>
        </w:tc>
        <w:tc>
          <w:tcPr>
            <w:tcW w:w="105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continue"/>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p>
        </w:tc>
        <w:tc>
          <w:tcPr>
            <w:tcW w:w="1417"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color w:val="auto"/>
                <w:kern w:val="0"/>
                <w:sz w:val="21"/>
                <w:szCs w:val="21"/>
                <w:highlight w:val="none"/>
              </w:rPr>
              <w:t>TP</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default" w:ascii="Times New Roman" w:hAnsi="Times New Roman" w:eastAsia="宋体" w:cs="Times New Roman"/>
                <w:i w:val="0"/>
                <w:color w:val="000000"/>
                <w:kern w:val="0"/>
                <w:sz w:val="21"/>
                <w:szCs w:val="21"/>
                <w:u w:val="none"/>
                <w:lang w:val="en-US" w:eastAsia="zh-CN" w:bidi="ar"/>
              </w:rPr>
              <w:t>0.001</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w:t>
            </w:r>
          </w:p>
        </w:tc>
        <w:tc>
          <w:tcPr>
            <w:tcW w:w="173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default" w:ascii="Times New Roman" w:hAnsi="Times New Roman" w:eastAsia="宋体" w:cs="Times New Roman"/>
                <w:i w:val="0"/>
                <w:color w:val="000000"/>
                <w:kern w:val="0"/>
                <w:sz w:val="21"/>
                <w:szCs w:val="21"/>
                <w:u w:val="none"/>
                <w:lang w:val="en-US" w:eastAsia="zh-CN" w:bidi="ar"/>
              </w:rPr>
              <w:t>0.001</w:t>
            </w:r>
          </w:p>
        </w:tc>
        <w:tc>
          <w:tcPr>
            <w:tcW w:w="105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continue"/>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p>
        </w:tc>
        <w:tc>
          <w:tcPr>
            <w:tcW w:w="1417"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color w:val="auto"/>
                <w:kern w:val="0"/>
                <w:sz w:val="21"/>
                <w:szCs w:val="21"/>
                <w:highlight w:val="none"/>
              </w:rPr>
              <w:t>TN</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bidi="ar"/>
              </w:rPr>
              <w:t>/</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default" w:ascii="Times New Roman" w:hAnsi="Times New Roman" w:eastAsia="宋体" w:cs="Times New Roman"/>
                <w:i w:val="0"/>
                <w:color w:val="000000"/>
                <w:kern w:val="0"/>
                <w:sz w:val="21"/>
                <w:szCs w:val="21"/>
                <w:u w:val="none"/>
                <w:lang w:val="en-US" w:eastAsia="zh-CN" w:bidi="ar"/>
              </w:rPr>
              <w:t>0.010</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bidi="ar"/>
              </w:rPr>
              <w:t>/</w:t>
            </w:r>
          </w:p>
        </w:tc>
        <w:tc>
          <w:tcPr>
            <w:tcW w:w="1731"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default" w:ascii="Times New Roman" w:hAnsi="Times New Roman" w:eastAsia="宋体" w:cs="Times New Roman"/>
                <w:i w:val="0"/>
                <w:color w:val="000000"/>
                <w:kern w:val="0"/>
                <w:sz w:val="21"/>
                <w:szCs w:val="21"/>
                <w:u w:val="none"/>
                <w:lang w:val="en-US" w:eastAsia="zh-CN" w:bidi="ar"/>
              </w:rPr>
              <w:t>0.010</w:t>
            </w:r>
          </w:p>
        </w:tc>
        <w:tc>
          <w:tcPr>
            <w:tcW w:w="1054"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0.010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restart"/>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snapToGrid w:val="0"/>
                <w:color w:val="000000"/>
                <w:kern w:val="21"/>
                <w:szCs w:val="21"/>
              </w:rPr>
              <w:t>一般工业</w:t>
            </w:r>
          </w:p>
          <w:p>
            <w:pPr>
              <w:pStyle w:val="25"/>
              <w:spacing w:beforeLines="0" w:afterLines="0" w:line="240" w:lineRule="auto"/>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snapToGrid w:val="0"/>
                <w:color w:val="000000"/>
                <w:kern w:val="21"/>
                <w:szCs w:val="21"/>
              </w:rPr>
              <w:t>固体废物</w:t>
            </w:r>
          </w:p>
        </w:tc>
        <w:tc>
          <w:tcPr>
            <w:tcW w:w="1417" w:type="dxa"/>
            <w:noWrap w:val="0"/>
            <w:vAlign w:val="center"/>
          </w:tcPr>
          <w:p>
            <w:pPr>
              <w:pStyle w:val="40"/>
              <w:keepNext w:val="0"/>
              <w:keepLines w:val="0"/>
              <w:pageBreakBefore w:val="0"/>
              <w:kinsoku/>
              <w:wordWrap/>
              <w:overflowPunct/>
              <w:topLinePunct w:val="0"/>
              <w:autoSpaceDE/>
              <w:autoSpaceDN/>
              <w:bidi w:val="0"/>
              <w:adjustRightInd/>
              <w:snapToGrid w:val="0"/>
              <w:ind w:firstLine="0" w:firstLineChars="0"/>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color w:val="auto"/>
                <w:highlight w:val="none"/>
                <w:lang w:val="en-US" w:eastAsia="zh-CN"/>
              </w:rPr>
              <w:t>废钢边角料</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5.5</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pStyle w:val="25"/>
              <w:spacing w:beforeLines="0" w:afterLines="0" w:line="240" w:lineRule="auto"/>
              <w:rPr>
                <w:rFonts w:hint="default" w:hAnsi="宋体" w:cs="宋体"/>
                <w:snapToGrid w:val="0"/>
                <w:color w:val="000000"/>
                <w:kern w:val="21"/>
                <w:szCs w:val="21"/>
                <w:lang w:val="en-US"/>
              </w:rPr>
            </w:pPr>
            <w:r>
              <w:rPr>
                <w:rFonts w:hint="eastAsia" w:ascii="Times New Roman" w:cs="Times New Roman"/>
                <w:color w:val="auto"/>
                <w:kern w:val="0"/>
                <w:sz w:val="21"/>
                <w:szCs w:val="21"/>
                <w:highlight w:val="none"/>
                <w:lang w:val="en-US" w:eastAsia="zh-CN" w:bidi="ar"/>
              </w:rPr>
              <w:t>0</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hAnsi="宋体" w:cs="宋体"/>
                <w:snapToGrid w:val="0"/>
                <w:color w:val="000000"/>
                <w:kern w:val="21"/>
                <w:szCs w:val="21"/>
                <w:lang w:val="en-US" w:eastAsia="zh-CN"/>
              </w:rPr>
              <w:t>5.5</w:t>
            </w:r>
          </w:p>
        </w:tc>
        <w:tc>
          <w:tcPr>
            <w:tcW w:w="1731" w:type="dxa"/>
            <w:noWrap w:val="0"/>
            <w:vAlign w:val="center"/>
          </w:tcPr>
          <w:p>
            <w:pPr>
              <w:pStyle w:val="25"/>
              <w:spacing w:beforeLines="0" w:afterLines="0" w:line="240" w:lineRule="auto"/>
              <w:rPr>
                <w:rFonts w:hAnsi="宋体" w:cs="宋体"/>
                <w:snapToGrid w:val="0"/>
                <w:color w:val="000000"/>
                <w:kern w:val="21"/>
                <w:szCs w:val="21"/>
              </w:rPr>
            </w:pPr>
            <w:r>
              <w:rPr>
                <w:rFonts w:hint="eastAsia" w:ascii="Times New Roman" w:cs="Times New Roman"/>
                <w:color w:val="auto"/>
                <w:kern w:val="0"/>
                <w:sz w:val="21"/>
                <w:szCs w:val="21"/>
                <w:highlight w:val="none"/>
                <w:lang w:val="en-US" w:eastAsia="zh-CN" w:bidi="ar"/>
              </w:rPr>
              <w:t>0</w:t>
            </w:r>
          </w:p>
        </w:tc>
        <w:tc>
          <w:tcPr>
            <w:tcW w:w="1054" w:type="dxa"/>
            <w:noWrap w:val="0"/>
            <w:vAlign w:val="center"/>
          </w:tcPr>
          <w:p>
            <w:pPr>
              <w:pStyle w:val="25"/>
              <w:spacing w:beforeLines="0" w:afterLines="0" w:line="240" w:lineRule="auto"/>
              <w:rPr>
                <w:rFonts w:hAnsi="宋体" w:cs="宋体"/>
                <w:snapToGrid w:val="0"/>
                <w:color w:val="000000"/>
                <w:kern w:val="21"/>
                <w:szCs w:val="21"/>
              </w:rPr>
            </w:pPr>
            <w:r>
              <w:rPr>
                <w:rFonts w:hint="eastAsia" w:ascii="Times New Roman" w:cs="Times New Roman"/>
                <w:color w:val="auto"/>
                <w:kern w:val="0"/>
                <w:sz w:val="21"/>
                <w:szCs w:val="21"/>
                <w:highlight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continue"/>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p>
        </w:tc>
        <w:tc>
          <w:tcPr>
            <w:tcW w:w="1417" w:type="dxa"/>
            <w:noWrap w:val="0"/>
            <w:vAlign w:val="center"/>
          </w:tcPr>
          <w:p>
            <w:pPr>
              <w:pStyle w:val="40"/>
              <w:keepNext w:val="0"/>
              <w:keepLines w:val="0"/>
              <w:pageBreakBefore w:val="0"/>
              <w:kinsoku/>
              <w:wordWrap/>
              <w:overflowPunct/>
              <w:topLinePunct w:val="0"/>
              <w:autoSpaceDE/>
              <w:autoSpaceDN/>
              <w:bidi w:val="0"/>
              <w:adjustRightInd/>
              <w:snapToGrid w:val="0"/>
              <w:ind w:firstLine="0" w:firstLineChars="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废铜边角料</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eastAsia="zh-CN"/>
              </w:rPr>
            </w:pPr>
            <w:r>
              <w:rPr>
                <w:rFonts w:hint="eastAsia" w:hAnsi="宋体" w:cs="宋体"/>
                <w:snapToGrid w:val="0"/>
                <w:color w:val="000000"/>
                <w:kern w:val="21"/>
                <w:szCs w:val="21"/>
                <w:lang w:val="en-US" w:eastAsia="zh-CN"/>
              </w:rPr>
              <w:t>2.5</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rPr>
              <w:t>0</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cs="Times New Roman"/>
                <w:color w:val="auto"/>
                <w:kern w:val="0"/>
                <w:sz w:val="21"/>
                <w:szCs w:val="21"/>
                <w:highlight w:val="none"/>
                <w:lang w:val="en-US" w:eastAsia="zh-CN"/>
              </w:rPr>
            </w:pPr>
            <w:r>
              <w:rPr>
                <w:rFonts w:hint="eastAsia" w:hAnsi="宋体" w:cs="宋体"/>
                <w:snapToGrid w:val="0"/>
                <w:color w:val="000000"/>
                <w:kern w:val="21"/>
                <w:szCs w:val="21"/>
                <w:lang w:val="en-US" w:eastAsia="zh-CN"/>
              </w:rPr>
              <w:t>2.5</w:t>
            </w:r>
          </w:p>
        </w:tc>
        <w:tc>
          <w:tcPr>
            <w:tcW w:w="1731" w:type="dxa"/>
            <w:noWrap w:val="0"/>
            <w:vAlign w:val="center"/>
          </w:tcPr>
          <w:p>
            <w:pPr>
              <w:pStyle w:val="25"/>
              <w:spacing w:beforeLines="0" w:afterLines="0" w:line="240" w:lineRule="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cs="Times New Roman"/>
                <w:color w:val="auto"/>
                <w:kern w:val="0"/>
                <w:sz w:val="21"/>
                <w:szCs w:val="21"/>
                <w:highlight w:val="none"/>
                <w:lang w:val="en-US" w:eastAsia="zh-CN" w:bidi="ar"/>
              </w:rPr>
              <w:t>0</w:t>
            </w:r>
          </w:p>
        </w:tc>
        <w:tc>
          <w:tcPr>
            <w:tcW w:w="1054" w:type="dxa"/>
            <w:noWrap w:val="0"/>
            <w:vAlign w:val="center"/>
          </w:tcPr>
          <w:p>
            <w:pPr>
              <w:pStyle w:val="25"/>
              <w:spacing w:beforeLines="0" w:afterLines="0" w:line="240" w:lineRule="auto"/>
              <w:rPr>
                <w:rFonts w:hint="default" w:ascii="Times New Roman" w:cs="Times New Roman"/>
                <w:color w:val="auto"/>
                <w:kern w:val="0"/>
                <w:sz w:val="21"/>
                <w:szCs w:val="21"/>
                <w:highlight w:val="none"/>
                <w:lang w:val="en-US" w:eastAsia="zh-CN" w:bidi="ar"/>
              </w:rPr>
            </w:pPr>
            <w:r>
              <w:rPr>
                <w:rFonts w:hint="eastAsia" w:ascii="Times New Roman" w:cs="Times New Roman"/>
                <w:color w:val="auto"/>
                <w:kern w:val="0"/>
                <w:sz w:val="21"/>
                <w:szCs w:val="21"/>
                <w:highlight w:val="none"/>
                <w:lang w:val="en-US" w:eastAsia="zh-CN" w:bidi="ar"/>
              </w:rPr>
              <w:t>/</w:t>
            </w:r>
            <w:bookmarkStart w:id="2" w:name="_GoBack"/>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restart"/>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snapToGrid w:val="0"/>
                <w:color w:val="000000"/>
                <w:kern w:val="21"/>
                <w:szCs w:val="21"/>
              </w:rPr>
              <w:t>危险废物</w:t>
            </w:r>
          </w:p>
        </w:tc>
        <w:tc>
          <w:tcPr>
            <w:tcW w:w="1417"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color w:val="auto"/>
                <w:highlight w:val="none"/>
                <w:lang w:val="en-US" w:eastAsia="zh-CN"/>
              </w:rPr>
              <w:t>废UV灯管</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rPr>
            </w:pPr>
            <w:r>
              <w:rPr>
                <w:rFonts w:hint="eastAsia" w:eastAsia="宋体" w:cs="Times New Roman"/>
                <w:color w:val="auto"/>
                <w:kern w:val="0"/>
                <w:sz w:val="21"/>
                <w:szCs w:val="21"/>
                <w:highlight w:val="none"/>
                <w:lang w:val="en-US" w:eastAsia="zh-CN"/>
              </w:rPr>
              <w:t>/</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rPr>
            </w:pPr>
            <w:r>
              <w:rPr>
                <w:rFonts w:hint="eastAsia" w:cs="Times New Roman"/>
                <w:color w:val="auto"/>
                <w:kern w:val="0"/>
                <w:sz w:val="21"/>
                <w:szCs w:val="21"/>
                <w:highlight w:val="none"/>
                <w:lang w:val="en-US" w:eastAsia="zh-CN"/>
              </w:rPr>
              <w:t>0.01</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0.01</w:t>
            </w:r>
          </w:p>
        </w:tc>
        <w:tc>
          <w:tcPr>
            <w:tcW w:w="10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continue"/>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p>
        </w:tc>
        <w:tc>
          <w:tcPr>
            <w:tcW w:w="1417"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color w:val="auto"/>
                <w:highlight w:val="none"/>
                <w:lang w:val="en-US" w:eastAsia="zh-CN"/>
              </w:rPr>
              <w:t>废活性炭</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rPr>
            </w:pPr>
            <w:r>
              <w:rPr>
                <w:rFonts w:hint="eastAsia" w:cs="Times New Roman"/>
                <w:color w:val="auto"/>
                <w:kern w:val="0"/>
                <w:sz w:val="21"/>
                <w:szCs w:val="21"/>
                <w:highlight w:val="none"/>
                <w:lang w:val="en-US" w:eastAsia="zh-CN"/>
              </w:rPr>
              <w:t>4.648</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4.648</w:t>
            </w:r>
          </w:p>
        </w:tc>
        <w:tc>
          <w:tcPr>
            <w:tcW w:w="10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continue"/>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p>
        </w:tc>
        <w:tc>
          <w:tcPr>
            <w:tcW w:w="1417" w:type="dxa"/>
            <w:noWrap w:val="0"/>
            <w:vAlign w:val="center"/>
          </w:tcPr>
          <w:p>
            <w:pPr>
              <w:pStyle w:val="40"/>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color w:val="auto"/>
                <w:highlight w:val="none"/>
                <w:lang w:val="en-US" w:eastAsia="zh-CN"/>
              </w:rPr>
              <w:t>废油桶</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rPr>
            </w:pPr>
            <w:r>
              <w:rPr>
                <w:rFonts w:hint="eastAsia" w:cs="Times New Roman"/>
                <w:color w:val="auto"/>
                <w:kern w:val="0"/>
                <w:sz w:val="21"/>
                <w:szCs w:val="21"/>
                <w:highlight w:val="none"/>
                <w:lang w:val="en-US" w:eastAsia="zh-CN"/>
              </w:rPr>
              <w:t>0.04</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0.04</w:t>
            </w:r>
          </w:p>
        </w:tc>
        <w:tc>
          <w:tcPr>
            <w:tcW w:w="10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continue"/>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p>
        </w:tc>
        <w:tc>
          <w:tcPr>
            <w:tcW w:w="141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napToGrid w:val="0"/>
                <w:color w:val="000000"/>
                <w:kern w:val="21"/>
                <w:szCs w:val="21"/>
                <w:lang w:val="en-US"/>
              </w:rPr>
            </w:pPr>
            <w:r>
              <w:rPr>
                <w:rFonts w:hint="default" w:ascii="Times New Roman" w:hAnsi="Times New Roman" w:eastAsia="仿宋" w:cs="Times New Roman"/>
                <w:color w:val="auto"/>
                <w:sz w:val="21"/>
                <w:szCs w:val="21"/>
                <w:highlight w:val="none"/>
                <w:lang w:val="en-US" w:eastAsia="zh-CN"/>
              </w:rPr>
              <w:t>废甲醇桶</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rPr>
            </w:pPr>
            <w:r>
              <w:rPr>
                <w:rFonts w:hint="eastAsia" w:cs="Times New Roman"/>
                <w:color w:val="auto"/>
                <w:kern w:val="0"/>
                <w:sz w:val="21"/>
                <w:szCs w:val="21"/>
                <w:highlight w:val="none"/>
                <w:lang w:val="en-US" w:eastAsia="zh-CN"/>
              </w:rPr>
              <w:t>0.1</w:t>
            </w:r>
          </w:p>
        </w:tc>
        <w:tc>
          <w:tcPr>
            <w:tcW w:w="176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0.1</w:t>
            </w:r>
          </w:p>
        </w:tc>
        <w:tc>
          <w:tcPr>
            <w:tcW w:w="10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continue"/>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p>
        </w:tc>
        <w:tc>
          <w:tcPr>
            <w:tcW w:w="141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napToGrid w:val="0"/>
                <w:color w:val="000000"/>
                <w:kern w:val="21"/>
                <w:szCs w:val="21"/>
              </w:rPr>
            </w:pPr>
            <w:r>
              <w:rPr>
                <w:rFonts w:hint="eastAsia" w:eastAsia="仿宋" w:cs="Times New Roman"/>
                <w:color w:val="auto"/>
                <w:sz w:val="21"/>
                <w:szCs w:val="21"/>
                <w:highlight w:val="none"/>
                <w:lang w:val="en-US" w:eastAsia="zh-CN"/>
              </w:rPr>
              <w:t>废油渣</w:t>
            </w:r>
          </w:p>
        </w:tc>
        <w:tc>
          <w:tcPr>
            <w:tcW w:w="1701"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hAnsi="宋体" w:cs="宋体"/>
                <w:snapToGrid w:val="0"/>
                <w:color w:val="000000"/>
                <w:kern w:val="21"/>
                <w:szCs w:val="21"/>
                <w:lang w:val="en-US"/>
              </w:rPr>
            </w:pPr>
            <w:r>
              <w:rPr>
                <w:rFonts w:hint="default" w:ascii="Times New Roman" w:hAnsi="Times New Roman" w:cs="Times New Roman"/>
                <w:sz w:val="21"/>
                <w:szCs w:val="21"/>
                <w:lang w:val="en-US" w:eastAsia="zh-CN"/>
              </w:rPr>
              <w:t>0.</w:t>
            </w:r>
            <w:r>
              <w:rPr>
                <w:rFonts w:hint="eastAsia" w:cs="Times New Roman"/>
                <w:sz w:val="21"/>
                <w:szCs w:val="21"/>
                <w:lang w:val="en-US" w:eastAsia="zh-CN"/>
              </w:rPr>
              <w:t>5</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hAnsi="宋体" w:cs="宋体"/>
                <w:snapToGrid w:val="0"/>
                <w:color w:val="000000"/>
                <w:kern w:val="21"/>
                <w:szCs w:val="21"/>
                <w:lang w:val="en-US"/>
              </w:rPr>
            </w:pPr>
            <w:r>
              <w:rPr>
                <w:rFonts w:hint="eastAsia" w:cs="Times New Roman"/>
                <w:color w:val="auto"/>
                <w:kern w:val="0"/>
                <w:sz w:val="21"/>
                <w:szCs w:val="21"/>
                <w:highlight w:val="none"/>
                <w:lang w:val="en-US" w:eastAsia="zh-CN"/>
              </w:rPr>
              <w:t>0.9t/3a</w:t>
            </w:r>
          </w:p>
        </w:tc>
        <w:tc>
          <w:tcPr>
            <w:tcW w:w="1761" w:type="dxa"/>
            <w:noWrap w:val="0"/>
            <w:vAlign w:val="center"/>
          </w:tcPr>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Ansi="宋体" w:cs="宋体"/>
                <w:snapToGrid w:val="0"/>
                <w:color w:val="000000"/>
                <w:kern w:val="21"/>
                <w:szCs w:val="21"/>
              </w:rPr>
            </w:pPr>
            <w:r>
              <w:rPr>
                <w:rFonts w:hint="default" w:ascii="Times New Roman" w:hAnsi="Times New Roman" w:cs="Times New Roman"/>
                <w:sz w:val="21"/>
                <w:szCs w:val="21"/>
                <w:lang w:val="en-US" w:eastAsia="zh-CN"/>
              </w:rPr>
              <w:t>0.</w:t>
            </w:r>
            <w:r>
              <w:rPr>
                <w:rFonts w:hint="eastAsia" w:cs="Times New Roman"/>
                <w:sz w:val="21"/>
                <w:szCs w:val="21"/>
                <w:lang w:val="en-US" w:eastAsia="zh-CN"/>
              </w:rPr>
              <w:t>5</w:t>
            </w:r>
          </w:p>
        </w:tc>
        <w:tc>
          <w:tcPr>
            <w:tcW w:w="17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0.9t/3a</w:t>
            </w:r>
          </w:p>
        </w:tc>
        <w:tc>
          <w:tcPr>
            <w:tcW w:w="10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gridSpan w:val="2"/>
            <w:vMerge w:val="continue"/>
            <w:noWrap w:val="0"/>
            <w:vAlign w:val="center"/>
          </w:tcPr>
          <w:p>
            <w:pPr>
              <w:pStyle w:val="25"/>
              <w:spacing w:beforeLines="0" w:afterLines="0" w:line="240" w:lineRule="auto"/>
              <w:rPr>
                <w:rFonts w:hint="default" w:ascii="Times New Roman" w:hAnsi="Times New Roman" w:eastAsia="仿宋" w:cs="Times New Roman"/>
                <w:snapToGrid w:val="0"/>
                <w:color w:val="000000"/>
                <w:kern w:val="21"/>
                <w:szCs w:val="21"/>
              </w:rPr>
            </w:pPr>
          </w:p>
        </w:tc>
        <w:tc>
          <w:tcPr>
            <w:tcW w:w="141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napToGrid w:val="0"/>
                <w:color w:val="000000"/>
                <w:kern w:val="21"/>
                <w:szCs w:val="21"/>
              </w:rPr>
            </w:pPr>
            <w:r>
              <w:rPr>
                <w:rFonts w:hint="default" w:ascii="Times New Roman" w:hAnsi="Times New Roman" w:eastAsia="仿宋" w:cs="Times New Roman"/>
                <w:color w:val="auto"/>
                <w:sz w:val="21"/>
                <w:szCs w:val="21"/>
                <w:highlight w:val="none"/>
                <w:lang w:val="en-US" w:eastAsia="zh-CN"/>
              </w:rPr>
              <w:t>废抹布</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手套</w:t>
            </w:r>
          </w:p>
        </w:tc>
        <w:tc>
          <w:tcPr>
            <w:tcW w:w="1701" w:type="dxa"/>
            <w:noWrap w:val="0"/>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int="default" w:hAnsi="宋体" w:cs="宋体"/>
                <w:snapToGrid w:val="0"/>
                <w:color w:val="000000"/>
                <w:kern w:val="21"/>
                <w:szCs w:val="21"/>
                <w:lang w:val="en-US"/>
              </w:rPr>
            </w:pPr>
            <w:r>
              <w:rPr>
                <w:rFonts w:hint="eastAsia" w:ascii="Times New Roman" w:hAnsi="Times New Roman" w:cs="Times New Roman"/>
                <w:sz w:val="21"/>
                <w:szCs w:val="21"/>
                <w:lang w:val="en-US" w:eastAsia="zh-CN"/>
              </w:rPr>
              <w:t>0.</w:t>
            </w:r>
            <w:r>
              <w:rPr>
                <w:rFonts w:hint="eastAsia" w:cs="Times New Roman"/>
                <w:sz w:val="21"/>
                <w:szCs w:val="21"/>
                <w:lang w:val="en-US" w:eastAsia="zh-CN"/>
              </w:rPr>
              <w:t>1</w:t>
            </w:r>
          </w:p>
        </w:tc>
        <w:tc>
          <w:tcPr>
            <w:tcW w:w="127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70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c>
          <w:tcPr>
            <w:tcW w:w="155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0.02</w:t>
            </w:r>
          </w:p>
        </w:tc>
        <w:tc>
          <w:tcPr>
            <w:tcW w:w="1761" w:type="dxa"/>
            <w:noWrap w:val="0"/>
            <w:vAlign w:val="center"/>
          </w:tcPr>
          <w:p>
            <w:pPr>
              <w:keepNext w:val="0"/>
              <w:keepLines w:val="0"/>
              <w:pageBreakBefore w:val="0"/>
              <w:widowControl w:val="0"/>
              <w:kinsoku/>
              <w:wordWrap/>
              <w:topLinePunct w:val="0"/>
              <w:autoSpaceDE/>
              <w:autoSpaceDN/>
              <w:bidi w:val="0"/>
              <w:snapToGrid w:val="0"/>
              <w:spacing w:line="240" w:lineRule="auto"/>
              <w:ind w:firstLine="0" w:firstLineChars="0"/>
              <w:jc w:val="center"/>
              <w:rPr>
                <w:rFonts w:hAnsi="宋体" w:cs="宋体"/>
                <w:snapToGrid w:val="0"/>
                <w:color w:val="000000"/>
                <w:kern w:val="21"/>
                <w:szCs w:val="21"/>
              </w:rPr>
            </w:pPr>
            <w:r>
              <w:rPr>
                <w:rFonts w:hint="eastAsia" w:ascii="Times New Roman" w:hAnsi="Times New Roman" w:cs="Times New Roman"/>
                <w:sz w:val="21"/>
                <w:szCs w:val="21"/>
                <w:lang w:val="en-US" w:eastAsia="zh-CN"/>
              </w:rPr>
              <w:t>0.</w:t>
            </w:r>
            <w:r>
              <w:rPr>
                <w:rFonts w:hint="eastAsia" w:cs="Times New Roman"/>
                <w:sz w:val="21"/>
                <w:szCs w:val="21"/>
                <w:lang w:val="en-US" w:eastAsia="zh-CN"/>
              </w:rPr>
              <w:t>1</w:t>
            </w:r>
          </w:p>
        </w:tc>
        <w:tc>
          <w:tcPr>
            <w:tcW w:w="173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cs="Times New Roman"/>
                <w:color w:val="auto"/>
                <w:kern w:val="0"/>
                <w:sz w:val="21"/>
                <w:szCs w:val="21"/>
                <w:highlight w:val="none"/>
                <w:lang w:val="en-US" w:eastAsia="zh-CN"/>
              </w:rPr>
              <w:t>0.02</w:t>
            </w:r>
          </w:p>
        </w:tc>
        <w:tc>
          <w:tcPr>
            <w:tcW w:w="105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Ansi="宋体" w:cs="宋体"/>
                <w:snapToGrid w:val="0"/>
                <w:color w:val="000000"/>
                <w:kern w:val="21"/>
                <w:szCs w:val="21"/>
              </w:rPr>
            </w:pPr>
            <w:r>
              <w:rPr>
                <w:rFonts w:hint="eastAsia" w:eastAsia="宋体" w:cs="Times New Roman"/>
                <w:color w:val="auto"/>
                <w:kern w:val="0"/>
                <w:sz w:val="21"/>
                <w:szCs w:val="21"/>
                <w:highlight w:val="none"/>
                <w:lang w:val="en-US" w:eastAsia="zh-CN"/>
              </w:rPr>
              <w:t>/</w:t>
            </w:r>
          </w:p>
        </w:tc>
      </w:tr>
    </w:tbl>
    <w:p>
      <w:pPr>
        <w:pStyle w:val="25"/>
        <w:spacing w:before="192" w:beforeLines="80" w:after="24"/>
        <w:jc w:val="left"/>
        <w:rPr>
          <w:rFonts w:hint="eastAsia"/>
        </w:rPr>
        <w:sectPr>
          <w:footerReference r:id="rId4"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int="eastAsia" w:hAnsi="宋体"/>
          <w:snapToGrid w:val="0"/>
          <w:color w:val="000000"/>
          <w:spacing w:val="-6"/>
          <w:kern w:val="21"/>
          <w:szCs w:val="21"/>
          <w:lang w:eastAsia="zh-CN"/>
        </w:rPr>
        <w:t>；</w:t>
      </w:r>
    </w:p>
    <w:p/>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EE3A47"/>
    <w:multiLevelType w:val="singleLevel"/>
    <w:tmpl w:val="E5EE3A47"/>
    <w:lvl w:ilvl="0" w:tentative="0">
      <w:start w:val="2"/>
      <w:numFmt w:val="decimal"/>
      <w:suff w:val="nothing"/>
      <w:lvlText w:val="（%1）"/>
      <w:lvlJc w:val="left"/>
    </w:lvl>
  </w:abstractNum>
  <w:abstractNum w:abstractNumId="1">
    <w:nsid w:val="F2C00E8A"/>
    <w:multiLevelType w:val="multilevel"/>
    <w:tmpl w:val="F2C00E8A"/>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pStyle w:val="4"/>
      <w:lvlText w:val="%1.%2.%3"/>
      <w:lvlJc w:val="left"/>
      <w:pPr>
        <w:tabs>
          <w:tab w:val="left" w:pos="720"/>
        </w:tabs>
        <w:ind w:left="720" w:hanging="720"/>
      </w:pPr>
      <w:rPr>
        <w:rFonts w:hint="eastAsia"/>
      </w:rPr>
    </w:lvl>
    <w:lvl w:ilvl="3" w:tentative="0">
      <w:start w:val="1"/>
      <w:numFmt w:val="decimal"/>
      <w:lvlText w:val="%1.%2.%3.%4"/>
      <w:lvlJc w:val="left"/>
      <w:pPr>
        <w:tabs>
          <w:tab w:val="left" w:pos="1584"/>
        </w:tabs>
        <w:ind w:left="158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249A9276"/>
    <w:multiLevelType w:val="singleLevel"/>
    <w:tmpl w:val="249A9276"/>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3">
    <w:nsid w:val="5A3E277F"/>
    <w:multiLevelType w:val="singleLevel"/>
    <w:tmpl w:val="5A3E277F"/>
    <w:lvl w:ilvl="0" w:tentative="0">
      <w:start w:val="2"/>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31D3"/>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355F8"/>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2697903"/>
    <w:rsid w:val="02F96569"/>
    <w:rsid w:val="037A46EC"/>
    <w:rsid w:val="03802611"/>
    <w:rsid w:val="03EA7B21"/>
    <w:rsid w:val="047D7DDF"/>
    <w:rsid w:val="05681DFE"/>
    <w:rsid w:val="05F83EAE"/>
    <w:rsid w:val="063E7D85"/>
    <w:rsid w:val="07293586"/>
    <w:rsid w:val="07295285"/>
    <w:rsid w:val="07636392"/>
    <w:rsid w:val="07770C56"/>
    <w:rsid w:val="083C3ADA"/>
    <w:rsid w:val="08D5724B"/>
    <w:rsid w:val="092217DD"/>
    <w:rsid w:val="093A7294"/>
    <w:rsid w:val="0A263993"/>
    <w:rsid w:val="0A2D3AC2"/>
    <w:rsid w:val="0AA755DF"/>
    <w:rsid w:val="0B120D44"/>
    <w:rsid w:val="0B5A6C01"/>
    <w:rsid w:val="0BD27BF6"/>
    <w:rsid w:val="0C3B3C7D"/>
    <w:rsid w:val="0CAB2EAE"/>
    <w:rsid w:val="0CE041A8"/>
    <w:rsid w:val="0D621C7D"/>
    <w:rsid w:val="0D8B33C9"/>
    <w:rsid w:val="0DB13911"/>
    <w:rsid w:val="0E73034D"/>
    <w:rsid w:val="0F13775A"/>
    <w:rsid w:val="0F1A109A"/>
    <w:rsid w:val="0F5F45FE"/>
    <w:rsid w:val="0F9A112B"/>
    <w:rsid w:val="106D2F64"/>
    <w:rsid w:val="10B63710"/>
    <w:rsid w:val="10F10820"/>
    <w:rsid w:val="111C2F7A"/>
    <w:rsid w:val="11665CA1"/>
    <w:rsid w:val="11EA17C9"/>
    <w:rsid w:val="12053C34"/>
    <w:rsid w:val="13951726"/>
    <w:rsid w:val="14396509"/>
    <w:rsid w:val="14DD2C3C"/>
    <w:rsid w:val="16087E1D"/>
    <w:rsid w:val="17701D14"/>
    <w:rsid w:val="17735226"/>
    <w:rsid w:val="17F82480"/>
    <w:rsid w:val="189F624C"/>
    <w:rsid w:val="1A1C66C0"/>
    <w:rsid w:val="1A42393B"/>
    <w:rsid w:val="1A664F25"/>
    <w:rsid w:val="1AAD45DE"/>
    <w:rsid w:val="1B046F80"/>
    <w:rsid w:val="1B3267B5"/>
    <w:rsid w:val="1B40161D"/>
    <w:rsid w:val="1B441859"/>
    <w:rsid w:val="1B6606B1"/>
    <w:rsid w:val="1B743BA5"/>
    <w:rsid w:val="1C5E7925"/>
    <w:rsid w:val="1CD14248"/>
    <w:rsid w:val="1CFD070F"/>
    <w:rsid w:val="1D232B07"/>
    <w:rsid w:val="1D5F6196"/>
    <w:rsid w:val="1D6132A5"/>
    <w:rsid w:val="1D8E56D5"/>
    <w:rsid w:val="1DA97866"/>
    <w:rsid w:val="1DED6555"/>
    <w:rsid w:val="1E7A43DA"/>
    <w:rsid w:val="1F9F7498"/>
    <w:rsid w:val="1FE67CED"/>
    <w:rsid w:val="1FE7539E"/>
    <w:rsid w:val="20082277"/>
    <w:rsid w:val="20671BE0"/>
    <w:rsid w:val="20963CB8"/>
    <w:rsid w:val="20A81A1B"/>
    <w:rsid w:val="20B07FB6"/>
    <w:rsid w:val="20B646FB"/>
    <w:rsid w:val="213B74B1"/>
    <w:rsid w:val="215A2310"/>
    <w:rsid w:val="21DE318A"/>
    <w:rsid w:val="21EF5B80"/>
    <w:rsid w:val="22576990"/>
    <w:rsid w:val="22F47480"/>
    <w:rsid w:val="23D83E61"/>
    <w:rsid w:val="23DE1C48"/>
    <w:rsid w:val="240210CD"/>
    <w:rsid w:val="24BF09F7"/>
    <w:rsid w:val="252D53FE"/>
    <w:rsid w:val="25EC2D81"/>
    <w:rsid w:val="2768398A"/>
    <w:rsid w:val="277057A2"/>
    <w:rsid w:val="27A653A9"/>
    <w:rsid w:val="29122806"/>
    <w:rsid w:val="29206EB8"/>
    <w:rsid w:val="29595666"/>
    <w:rsid w:val="29874881"/>
    <w:rsid w:val="29E325E0"/>
    <w:rsid w:val="2A452503"/>
    <w:rsid w:val="2BA936A8"/>
    <w:rsid w:val="2C315A5A"/>
    <w:rsid w:val="2C4B1C25"/>
    <w:rsid w:val="2D9E56F5"/>
    <w:rsid w:val="2E2F085D"/>
    <w:rsid w:val="2E667F96"/>
    <w:rsid w:val="2E8226AB"/>
    <w:rsid w:val="2FD065E6"/>
    <w:rsid w:val="2FD96870"/>
    <w:rsid w:val="2FE13608"/>
    <w:rsid w:val="30580BC9"/>
    <w:rsid w:val="30F15822"/>
    <w:rsid w:val="311E2ED7"/>
    <w:rsid w:val="315619EE"/>
    <w:rsid w:val="315C449C"/>
    <w:rsid w:val="31B82709"/>
    <w:rsid w:val="31D05482"/>
    <w:rsid w:val="32400B34"/>
    <w:rsid w:val="329E6876"/>
    <w:rsid w:val="333015F2"/>
    <w:rsid w:val="334B6320"/>
    <w:rsid w:val="337351E2"/>
    <w:rsid w:val="33790B48"/>
    <w:rsid w:val="33D934D4"/>
    <w:rsid w:val="33FE2F6A"/>
    <w:rsid w:val="340E07E5"/>
    <w:rsid w:val="34235BF7"/>
    <w:rsid w:val="34E15103"/>
    <w:rsid w:val="34F45BB0"/>
    <w:rsid w:val="358C5FA8"/>
    <w:rsid w:val="35C15DF1"/>
    <w:rsid w:val="36074A7F"/>
    <w:rsid w:val="36923549"/>
    <w:rsid w:val="36B75FBF"/>
    <w:rsid w:val="36BD0C45"/>
    <w:rsid w:val="37E00298"/>
    <w:rsid w:val="38B302F9"/>
    <w:rsid w:val="38F12CD3"/>
    <w:rsid w:val="38F94775"/>
    <w:rsid w:val="39213D72"/>
    <w:rsid w:val="392971ED"/>
    <w:rsid w:val="39325651"/>
    <w:rsid w:val="3A872856"/>
    <w:rsid w:val="3B0A333E"/>
    <w:rsid w:val="3B3763D1"/>
    <w:rsid w:val="3C2F6E1E"/>
    <w:rsid w:val="3C4F64BA"/>
    <w:rsid w:val="3C725AC7"/>
    <w:rsid w:val="3C9703A3"/>
    <w:rsid w:val="3CDA245A"/>
    <w:rsid w:val="3D1E06B7"/>
    <w:rsid w:val="3EDA0523"/>
    <w:rsid w:val="3F90121E"/>
    <w:rsid w:val="407A6407"/>
    <w:rsid w:val="40FD372A"/>
    <w:rsid w:val="414C4CFA"/>
    <w:rsid w:val="41BF02B3"/>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5C028F1"/>
    <w:rsid w:val="46577FD6"/>
    <w:rsid w:val="46D955A7"/>
    <w:rsid w:val="4707309D"/>
    <w:rsid w:val="47133957"/>
    <w:rsid w:val="47A07E0C"/>
    <w:rsid w:val="4870272E"/>
    <w:rsid w:val="497B4864"/>
    <w:rsid w:val="49DC7715"/>
    <w:rsid w:val="4A023139"/>
    <w:rsid w:val="4A7B576F"/>
    <w:rsid w:val="4A9A6974"/>
    <w:rsid w:val="4AE32693"/>
    <w:rsid w:val="4AF561A9"/>
    <w:rsid w:val="4C360A5D"/>
    <w:rsid w:val="4C4A0649"/>
    <w:rsid w:val="4C7E5ECA"/>
    <w:rsid w:val="4C876AA5"/>
    <w:rsid w:val="4D0E00FB"/>
    <w:rsid w:val="4D176606"/>
    <w:rsid w:val="4DEC4FB0"/>
    <w:rsid w:val="4E075D8A"/>
    <w:rsid w:val="4EC00FAD"/>
    <w:rsid w:val="4EE161CF"/>
    <w:rsid w:val="4F9843DC"/>
    <w:rsid w:val="4FC62A8C"/>
    <w:rsid w:val="4FE20F0D"/>
    <w:rsid w:val="4FE51552"/>
    <w:rsid w:val="50504C4B"/>
    <w:rsid w:val="509C6E7C"/>
    <w:rsid w:val="50D51A0F"/>
    <w:rsid w:val="50F90FB8"/>
    <w:rsid w:val="5162104E"/>
    <w:rsid w:val="539611F5"/>
    <w:rsid w:val="53A039CC"/>
    <w:rsid w:val="53A1505A"/>
    <w:rsid w:val="53CF7DDC"/>
    <w:rsid w:val="54063E08"/>
    <w:rsid w:val="543437E8"/>
    <w:rsid w:val="5457141B"/>
    <w:rsid w:val="54F73313"/>
    <w:rsid w:val="54F80955"/>
    <w:rsid w:val="54F96371"/>
    <w:rsid w:val="555170A7"/>
    <w:rsid w:val="5587536D"/>
    <w:rsid w:val="559B174B"/>
    <w:rsid w:val="55CE0CF4"/>
    <w:rsid w:val="56B22A9C"/>
    <w:rsid w:val="57AD1EE8"/>
    <w:rsid w:val="57B72A76"/>
    <w:rsid w:val="57C3426C"/>
    <w:rsid w:val="57CE1F93"/>
    <w:rsid w:val="588743D1"/>
    <w:rsid w:val="5887701A"/>
    <w:rsid w:val="595A19F7"/>
    <w:rsid w:val="59C0439F"/>
    <w:rsid w:val="5A0D3276"/>
    <w:rsid w:val="5A1800CD"/>
    <w:rsid w:val="5ABE2233"/>
    <w:rsid w:val="5B894282"/>
    <w:rsid w:val="5BDF5D95"/>
    <w:rsid w:val="5BFE7528"/>
    <w:rsid w:val="5E180481"/>
    <w:rsid w:val="5E2467F1"/>
    <w:rsid w:val="5F1A2B43"/>
    <w:rsid w:val="5FB837BB"/>
    <w:rsid w:val="608E3A16"/>
    <w:rsid w:val="60CC405A"/>
    <w:rsid w:val="61E215D8"/>
    <w:rsid w:val="621B3775"/>
    <w:rsid w:val="621B7B02"/>
    <w:rsid w:val="62364782"/>
    <w:rsid w:val="6394356A"/>
    <w:rsid w:val="63C61B2C"/>
    <w:rsid w:val="63D40BE9"/>
    <w:rsid w:val="64102431"/>
    <w:rsid w:val="64A5243A"/>
    <w:rsid w:val="64F531DE"/>
    <w:rsid w:val="65373578"/>
    <w:rsid w:val="65C076AC"/>
    <w:rsid w:val="66930F60"/>
    <w:rsid w:val="671F124A"/>
    <w:rsid w:val="677A33C6"/>
    <w:rsid w:val="67892319"/>
    <w:rsid w:val="681F6961"/>
    <w:rsid w:val="68610A2F"/>
    <w:rsid w:val="68805514"/>
    <w:rsid w:val="689542BF"/>
    <w:rsid w:val="69316E2F"/>
    <w:rsid w:val="694E2071"/>
    <w:rsid w:val="69766163"/>
    <w:rsid w:val="697A3B33"/>
    <w:rsid w:val="69D44760"/>
    <w:rsid w:val="69F8262A"/>
    <w:rsid w:val="6A495FA2"/>
    <w:rsid w:val="6A520EC7"/>
    <w:rsid w:val="6AF87E20"/>
    <w:rsid w:val="6B322639"/>
    <w:rsid w:val="6C636C38"/>
    <w:rsid w:val="6D1019ED"/>
    <w:rsid w:val="6DB34098"/>
    <w:rsid w:val="6DB545B6"/>
    <w:rsid w:val="6DBD5791"/>
    <w:rsid w:val="6DE02FB4"/>
    <w:rsid w:val="6E514CED"/>
    <w:rsid w:val="6EB563D5"/>
    <w:rsid w:val="6ED92677"/>
    <w:rsid w:val="6F225983"/>
    <w:rsid w:val="6F712170"/>
    <w:rsid w:val="6FFC5590"/>
    <w:rsid w:val="706D1DD0"/>
    <w:rsid w:val="70856B87"/>
    <w:rsid w:val="70D527EE"/>
    <w:rsid w:val="715B5300"/>
    <w:rsid w:val="71711C75"/>
    <w:rsid w:val="71D27F8A"/>
    <w:rsid w:val="72553024"/>
    <w:rsid w:val="72836EA4"/>
    <w:rsid w:val="73122968"/>
    <w:rsid w:val="731F5D5E"/>
    <w:rsid w:val="73C51AD5"/>
    <w:rsid w:val="73E406C4"/>
    <w:rsid w:val="741E793C"/>
    <w:rsid w:val="745E3944"/>
    <w:rsid w:val="7635099D"/>
    <w:rsid w:val="77676596"/>
    <w:rsid w:val="77762421"/>
    <w:rsid w:val="77B56B1F"/>
    <w:rsid w:val="77FE35F1"/>
    <w:rsid w:val="780F09F4"/>
    <w:rsid w:val="78752DAA"/>
    <w:rsid w:val="788B3B28"/>
    <w:rsid w:val="78910E37"/>
    <w:rsid w:val="78A90480"/>
    <w:rsid w:val="790A7BE6"/>
    <w:rsid w:val="79EB29EA"/>
    <w:rsid w:val="7A364017"/>
    <w:rsid w:val="7A5B58B4"/>
    <w:rsid w:val="7A8265E1"/>
    <w:rsid w:val="7B686D42"/>
    <w:rsid w:val="7B841746"/>
    <w:rsid w:val="7C3977DB"/>
    <w:rsid w:val="7C5B0F14"/>
    <w:rsid w:val="7C6C5AC7"/>
    <w:rsid w:val="7CC6544B"/>
    <w:rsid w:val="7CE25EA0"/>
    <w:rsid w:val="7D0239FF"/>
    <w:rsid w:val="7D5E40CD"/>
    <w:rsid w:val="7DCD56F2"/>
    <w:rsid w:val="7E460396"/>
    <w:rsid w:val="7E4D76A8"/>
    <w:rsid w:val="7EB910C0"/>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semiHidden/>
    <w:unhideWhenUsed/>
    <w:qFormat/>
    <w:locked/>
    <w:uiPriority w:val="0"/>
    <w:pPr>
      <w:keepNext/>
      <w:keepLines/>
      <w:widowControl/>
      <w:numPr>
        <w:ilvl w:val="2"/>
        <w:numId w:val="1"/>
      </w:numPr>
      <w:spacing w:before="40" w:after="40" w:line="240" w:lineRule="auto"/>
      <w:ind w:left="720" w:hanging="720" w:firstLineChars="0"/>
      <w:jc w:val="left"/>
      <w:outlineLvl w:val="2"/>
    </w:pPr>
    <w:rPr>
      <w:rFonts w:ascii="Times New Roman" w:hAnsi="Times New Roman" w:eastAsia="仿宋"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5">
    <w:name w:val="annotation text"/>
    <w:basedOn w:val="1"/>
    <w:link w:val="32"/>
    <w:semiHidden/>
    <w:qFormat/>
    <w:uiPriority w:val="0"/>
    <w:pPr>
      <w:jc w:val="left"/>
    </w:pPr>
    <w:rPr>
      <w:kern w:val="0"/>
      <w:sz w:val="24"/>
      <w:szCs w:val="20"/>
    </w:rPr>
  </w:style>
  <w:style w:type="paragraph" w:styleId="6">
    <w:name w:val="Body Text"/>
    <w:basedOn w:val="1"/>
    <w:next w:val="7"/>
    <w:link w:val="31"/>
    <w:qFormat/>
    <w:uiPriority w:val="0"/>
    <w:pPr>
      <w:widowControl/>
      <w:snapToGrid w:val="0"/>
      <w:spacing w:before="60" w:after="160" w:line="259" w:lineRule="auto"/>
      <w:ind w:right="113"/>
    </w:pPr>
    <w:rPr>
      <w:kern w:val="0"/>
      <w:sz w:val="18"/>
      <w:szCs w:val="20"/>
    </w:rPr>
  </w:style>
  <w:style w:type="paragraph" w:styleId="7">
    <w:name w:val="List Bullet 5"/>
    <w:basedOn w:val="1"/>
    <w:qFormat/>
    <w:locked/>
    <w:uiPriority w:val="0"/>
    <w:pPr>
      <w:numPr>
        <w:ilvl w:val="0"/>
        <w:numId w:val="2"/>
      </w:numPr>
    </w:pPr>
  </w:style>
  <w:style w:type="paragraph" w:styleId="8">
    <w:name w:val="Body Text Indent"/>
    <w:basedOn w:val="1"/>
    <w:link w:val="39"/>
    <w:qFormat/>
    <w:uiPriority w:val="0"/>
    <w:pPr>
      <w:spacing w:after="120"/>
      <w:ind w:left="420" w:leftChars="200"/>
    </w:pPr>
    <w:rPr>
      <w:kern w:val="0"/>
      <w:sz w:val="24"/>
      <w:szCs w:val="20"/>
    </w:rPr>
  </w:style>
  <w:style w:type="paragraph" w:styleId="9">
    <w:name w:val="Date"/>
    <w:basedOn w:val="1"/>
    <w:next w:val="1"/>
    <w:link w:val="27"/>
    <w:qFormat/>
    <w:uiPriority w:val="0"/>
    <w:pPr>
      <w:ind w:left="100" w:leftChars="2500"/>
    </w:pPr>
    <w:rPr>
      <w:kern w:val="0"/>
      <w:sz w:val="24"/>
      <w:szCs w:val="20"/>
    </w:rPr>
  </w:style>
  <w:style w:type="paragraph" w:styleId="10">
    <w:name w:val="Balloon Text"/>
    <w:basedOn w:val="1"/>
    <w:link w:val="35"/>
    <w:semiHidden/>
    <w:qFormat/>
    <w:uiPriority w:val="0"/>
    <w:rPr>
      <w:kern w:val="0"/>
      <w:sz w:val="18"/>
      <w:szCs w:val="20"/>
    </w:rPr>
  </w:style>
  <w:style w:type="paragraph" w:styleId="11">
    <w:name w:val="footer"/>
    <w:basedOn w:val="1"/>
    <w:link w:val="26"/>
    <w:qFormat/>
    <w:uiPriority w:val="99"/>
    <w:pPr>
      <w:tabs>
        <w:tab w:val="center" w:pos="4153"/>
        <w:tab w:val="right" w:pos="8306"/>
      </w:tabs>
      <w:snapToGrid w:val="0"/>
      <w:jc w:val="left"/>
    </w:pPr>
    <w:rPr>
      <w:kern w:val="0"/>
      <w:sz w:val="18"/>
      <w:szCs w:val="20"/>
    </w:rPr>
  </w:style>
  <w:style w:type="paragraph" w:styleId="12">
    <w:name w:val="header"/>
    <w:basedOn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3">
    <w:name w:val="Normal (Web)"/>
    <w:basedOn w:val="1"/>
    <w:link w:val="29"/>
    <w:qFormat/>
    <w:uiPriority w:val="0"/>
    <w:pPr>
      <w:widowControl/>
      <w:spacing w:before="100" w:beforeAutospacing="1" w:after="100" w:afterAutospacing="1"/>
      <w:jc w:val="left"/>
    </w:pPr>
    <w:rPr>
      <w:rFonts w:ascii="宋体" w:hAnsi="宋体"/>
      <w:kern w:val="0"/>
      <w:sz w:val="24"/>
      <w:szCs w:val="20"/>
    </w:rPr>
  </w:style>
  <w:style w:type="paragraph" w:styleId="14">
    <w:name w:val="annotation subject"/>
    <w:basedOn w:val="5"/>
    <w:next w:val="5"/>
    <w:link w:val="36"/>
    <w:semiHidden/>
    <w:qFormat/>
    <w:uiPriority w:val="0"/>
    <w:rPr>
      <w:b/>
      <w:sz w:val="24"/>
      <w:szCs w:val="20"/>
    </w:rPr>
  </w:style>
  <w:style w:type="paragraph" w:styleId="15">
    <w:name w:val="Body Text First Indent"/>
    <w:basedOn w:val="1"/>
    <w:next w:val="1"/>
    <w:qFormat/>
    <w:locked/>
    <w:uiPriority w:val="0"/>
    <w:pPr>
      <w:spacing w:after="120" w:line="240" w:lineRule="auto"/>
      <w:ind w:firstLine="420" w:firstLineChars="100"/>
    </w:pPr>
    <w:rPr>
      <w:sz w:val="21"/>
    </w:rPr>
  </w:style>
  <w:style w:type="paragraph" w:styleId="16">
    <w:name w:val="Body Text First Indent 2"/>
    <w:basedOn w:val="8"/>
    <w:next w:val="15"/>
    <w:qFormat/>
    <w:locked/>
    <w:uiPriority w:val="0"/>
    <w:pPr>
      <w:ind w:firstLine="420"/>
    </w:p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locked/>
    <w:uiPriority w:val="0"/>
  </w:style>
  <w:style w:type="character" w:styleId="21">
    <w:name w:val="Hyperlink"/>
    <w:basedOn w:val="19"/>
    <w:qFormat/>
    <w:locked/>
    <w:uiPriority w:val="0"/>
    <w:rPr>
      <w:color w:val="0000FF"/>
      <w:u w:val="single"/>
    </w:rPr>
  </w:style>
  <w:style w:type="character" w:styleId="22">
    <w:name w:val="annotation reference"/>
    <w:semiHidden/>
    <w:qFormat/>
    <w:uiPriority w:val="0"/>
    <w:rPr>
      <w:sz w:val="21"/>
    </w:rPr>
  </w:style>
  <w:style w:type="paragraph" w:customStyle="1" w:styleId="2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25">
    <w:name w:val="表格"/>
    <w:basedOn w:val="1"/>
    <w:next w:val="1"/>
    <w:link w:val="33"/>
    <w:qFormat/>
    <w:uiPriority w:val="0"/>
    <w:pPr>
      <w:adjustRightInd w:val="0"/>
      <w:snapToGrid w:val="0"/>
      <w:spacing w:beforeLines="10" w:afterLines="10" w:line="259" w:lineRule="auto"/>
      <w:jc w:val="center"/>
    </w:pPr>
    <w:rPr>
      <w:rFonts w:ascii="宋体"/>
      <w:kern w:val="0"/>
      <w:szCs w:val="20"/>
    </w:rPr>
  </w:style>
  <w:style w:type="character" w:customStyle="1" w:styleId="26">
    <w:name w:val="页脚 Char"/>
    <w:link w:val="11"/>
    <w:qFormat/>
    <w:locked/>
    <w:uiPriority w:val="99"/>
    <w:rPr>
      <w:sz w:val="18"/>
    </w:rPr>
  </w:style>
  <w:style w:type="character" w:customStyle="1" w:styleId="27">
    <w:name w:val="日期 Char"/>
    <w:link w:val="9"/>
    <w:qFormat/>
    <w:locked/>
    <w:uiPriority w:val="0"/>
    <w:rPr>
      <w:rFonts w:ascii="Times New Roman" w:hAnsi="Times New Roman" w:eastAsia="宋体"/>
      <w:sz w:val="24"/>
    </w:rPr>
  </w:style>
  <w:style w:type="character" w:customStyle="1" w:styleId="28">
    <w:name w:val="页脚 字符"/>
    <w:basedOn w:val="19"/>
    <w:qFormat/>
    <w:uiPriority w:val="99"/>
  </w:style>
  <w:style w:type="character" w:customStyle="1" w:styleId="29">
    <w:name w:val="普通(网站) Char"/>
    <w:link w:val="13"/>
    <w:qFormat/>
    <w:locked/>
    <w:uiPriority w:val="0"/>
    <w:rPr>
      <w:rFonts w:ascii="宋体" w:hAnsi="宋体" w:eastAsia="宋体"/>
      <w:sz w:val="24"/>
    </w:rPr>
  </w:style>
  <w:style w:type="character" w:customStyle="1" w:styleId="30">
    <w:name w:val="正文文本 字符1"/>
    <w:semiHidden/>
    <w:qFormat/>
    <w:uiPriority w:val="0"/>
    <w:rPr>
      <w:rFonts w:ascii="Times New Roman" w:hAnsi="Times New Roman" w:eastAsia="宋体"/>
      <w:sz w:val="24"/>
    </w:rPr>
  </w:style>
  <w:style w:type="character" w:customStyle="1" w:styleId="31">
    <w:name w:val="正文文本 Char"/>
    <w:link w:val="6"/>
    <w:qFormat/>
    <w:locked/>
    <w:uiPriority w:val="0"/>
    <w:rPr>
      <w:sz w:val="18"/>
    </w:rPr>
  </w:style>
  <w:style w:type="character" w:customStyle="1" w:styleId="32">
    <w:name w:val="批注文字 Char"/>
    <w:link w:val="5"/>
    <w:qFormat/>
    <w:locked/>
    <w:uiPriority w:val="0"/>
    <w:rPr>
      <w:rFonts w:ascii="Times New Roman" w:hAnsi="Times New Roman" w:eastAsia="宋体"/>
      <w:sz w:val="24"/>
    </w:rPr>
  </w:style>
  <w:style w:type="character" w:customStyle="1" w:styleId="33">
    <w:name w:val="表格 Char"/>
    <w:link w:val="25"/>
    <w:qFormat/>
    <w:locked/>
    <w:uiPriority w:val="0"/>
    <w:rPr>
      <w:rFonts w:ascii="宋体"/>
      <w:sz w:val="21"/>
    </w:rPr>
  </w:style>
  <w:style w:type="character" w:customStyle="1" w:styleId="34">
    <w:name w:val="日期 字符"/>
    <w:semiHidden/>
    <w:qFormat/>
    <w:uiPriority w:val="0"/>
    <w:rPr>
      <w:rFonts w:ascii="Times New Roman" w:hAnsi="Times New Roman" w:eastAsia="宋体"/>
      <w:sz w:val="24"/>
    </w:rPr>
  </w:style>
  <w:style w:type="character" w:customStyle="1" w:styleId="35">
    <w:name w:val="批注框文本 Char"/>
    <w:link w:val="10"/>
    <w:semiHidden/>
    <w:qFormat/>
    <w:locked/>
    <w:uiPriority w:val="0"/>
    <w:rPr>
      <w:rFonts w:ascii="Times New Roman" w:hAnsi="Times New Roman" w:eastAsia="宋体"/>
      <w:sz w:val="18"/>
    </w:rPr>
  </w:style>
  <w:style w:type="character" w:customStyle="1" w:styleId="36">
    <w:name w:val="批注主题 Char"/>
    <w:link w:val="14"/>
    <w:semiHidden/>
    <w:qFormat/>
    <w:locked/>
    <w:uiPriority w:val="0"/>
    <w:rPr>
      <w:rFonts w:ascii="Times New Roman" w:hAnsi="Times New Roman" w:eastAsia="宋体"/>
      <w:b/>
      <w:kern w:val="2"/>
      <w:sz w:val="24"/>
    </w:rPr>
  </w:style>
  <w:style w:type="character" w:customStyle="1" w:styleId="37">
    <w:name w:val="页眉 Char"/>
    <w:link w:val="12"/>
    <w:qFormat/>
    <w:locked/>
    <w:uiPriority w:val="0"/>
    <w:rPr>
      <w:sz w:val="18"/>
    </w:rPr>
  </w:style>
  <w:style w:type="character" w:customStyle="1" w:styleId="38">
    <w:name w:val="批注文字 字符1"/>
    <w:semiHidden/>
    <w:qFormat/>
    <w:uiPriority w:val="0"/>
    <w:rPr>
      <w:rFonts w:ascii="Times New Roman" w:hAnsi="Times New Roman" w:eastAsia="宋体"/>
      <w:sz w:val="24"/>
    </w:rPr>
  </w:style>
  <w:style w:type="character" w:customStyle="1" w:styleId="39">
    <w:name w:val="正文文本缩进 Char"/>
    <w:link w:val="8"/>
    <w:semiHidden/>
    <w:qFormat/>
    <w:locked/>
    <w:uiPriority w:val="0"/>
    <w:rPr>
      <w:rFonts w:ascii="Times New Roman" w:hAnsi="Times New Roman" w:eastAsia="宋体"/>
      <w:sz w:val="24"/>
    </w:rPr>
  </w:style>
  <w:style w:type="paragraph" w:customStyle="1" w:styleId="40">
    <w:name w:val="表格内容"/>
    <w:basedOn w:val="1"/>
    <w:next w:val="1"/>
    <w:qFormat/>
    <w:uiPriority w:val="0"/>
    <w:pPr>
      <w:spacing w:line="240" w:lineRule="auto"/>
      <w:ind w:firstLine="0" w:firstLineChars="0"/>
      <w:jc w:val="center"/>
    </w:pPr>
    <w:rPr>
      <w:sz w:val="21"/>
      <w:szCs w:val="21"/>
    </w:rPr>
  </w:style>
  <w:style w:type="paragraph" w:customStyle="1" w:styleId="41">
    <w:name w:val="表格标题"/>
    <w:basedOn w:val="1"/>
    <w:qFormat/>
    <w:uiPriority w:val="0"/>
    <w:pPr>
      <w:ind w:firstLine="0" w:firstLineChars="0"/>
      <w:jc w:val="center"/>
    </w:pPr>
    <w:rPr>
      <w:b/>
      <w:szCs w:val="24"/>
    </w:rPr>
  </w:style>
  <w:style w:type="paragraph" w:customStyle="1" w:styleId="42">
    <w:name w:val="图表文字"/>
    <w:basedOn w:val="1"/>
    <w:qFormat/>
    <w:uiPriority w:val="0"/>
    <w:pPr>
      <w:jc w:val="center"/>
    </w:pPr>
    <w:rPr>
      <w:rFonts w:ascii="仿宋_GB2312" w:eastAsia="仿宋_GB2312"/>
      <w:szCs w:val="24"/>
    </w:rPr>
  </w:style>
  <w:style w:type="paragraph" w:customStyle="1" w:styleId="43">
    <w:name w:val="XYF1"/>
    <w:basedOn w:val="1"/>
    <w:qFormat/>
    <w:uiPriority w:val="0"/>
    <w:pPr>
      <w:tabs>
        <w:tab w:val="left" w:pos="1080"/>
      </w:tabs>
      <w:spacing w:line="440" w:lineRule="exact"/>
      <w:ind w:firstLine="195" w:firstLineChars="195"/>
    </w:pPr>
    <w:rPr>
      <w:sz w:val="24"/>
    </w:rPr>
  </w:style>
  <w:style w:type="paragraph" w:customStyle="1" w:styleId="44">
    <w:name w:val="正文lcc"/>
    <w:basedOn w:val="1"/>
    <w:qFormat/>
    <w:uiPriority w:val="0"/>
    <w:pPr>
      <w:snapToGrid w:val="0"/>
      <w:ind w:firstLine="480"/>
    </w:pPr>
    <w:rPr>
      <w:color w:val="000000"/>
      <w:szCs w:val="20"/>
    </w:rPr>
  </w:style>
  <w:style w:type="paragraph" w:customStyle="1" w:styleId="45">
    <w:name w:val="表文-lcc"/>
    <w:basedOn w:val="1"/>
    <w:qFormat/>
    <w:uiPriority w:val="0"/>
    <w:pPr>
      <w:jc w:val="center"/>
    </w:pPr>
    <w:rPr>
      <w:szCs w:val="21"/>
    </w:rPr>
  </w:style>
  <w:style w:type="paragraph" w:customStyle="1" w:styleId="46">
    <w:name w:val="样式 自动设置"/>
    <w:basedOn w:val="1"/>
    <w:qFormat/>
    <w:uiPriority w:val="0"/>
    <w:pPr>
      <w:autoSpaceDE w:val="0"/>
      <w:autoSpaceDN w:val="0"/>
      <w:adjustRightInd w:val="0"/>
      <w:snapToGrid w:val="0"/>
      <w:spacing w:beforeLines="50" w:line="288" w:lineRule="auto"/>
    </w:pPr>
  </w:style>
  <w:style w:type="character" w:customStyle="1" w:styleId="47">
    <w:name w:val="font81"/>
    <w:qFormat/>
    <w:uiPriority w:val="0"/>
    <w:rPr>
      <w:rFonts w:hint="eastAsia" w:ascii="宋体" w:hAnsi="宋体" w:eastAsia="宋体" w:cs="宋体"/>
      <w:b/>
      <w:color w:val="000000"/>
      <w:sz w:val="21"/>
      <w:szCs w:val="21"/>
      <w:u w:val="none"/>
    </w:rPr>
  </w:style>
  <w:style w:type="character" w:customStyle="1" w:styleId="48">
    <w:name w:val="font21"/>
    <w:basedOn w:val="19"/>
    <w:qFormat/>
    <w:uiPriority w:val="0"/>
    <w:rPr>
      <w:rFonts w:hint="default" w:ascii="Times New Roman" w:hAnsi="Times New Roman" w:cs="Times New Roman"/>
      <w:color w:val="000000"/>
      <w:sz w:val="21"/>
      <w:szCs w:val="21"/>
      <w:u w:val="none"/>
    </w:rPr>
  </w:style>
  <w:style w:type="character" w:customStyle="1" w:styleId="49">
    <w:name w:val="font31"/>
    <w:basedOn w:val="19"/>
    <w:qFormat/>
    <w:uiPriority w:val="0"/>
    <w:rPr>
      <w:rFonts w:hint="default" w:ascii="Times New Roman" w:hAnsi="Times New Roman" w:cs="Times New Roman"/>
      <w:color w:val="000000"/>
      <w:sz w:val="21"/>
      <w:szCs w:val="21"/>
      <w:u w:val="none"/>
      <w:vertAlign w:val="superscript"/>
    </w:rPr>
  </w:style>
  <w:style w:type="character" w:customStyle="1" w:styleId="50">
    <w:name w:val="font01"/>
    <w:basedOn w:val="19"/>
    <w:qFormat/>
    <w:uiPriority w:val="0"/>
    <w:rPr>
      <w:rFonts w:hint="eastAsia" w:ascii="宋体" w:hAnsi="宋体" w:eastAsia="宋体" w:cs="宋体"/>
      <w:b/>
      <w:color w:val="000000"/>
      <w:sz w:val="18"/>
      <w:szCs w:val="18"/>
      <w:u w:val="none"/>
    </w:rPr>
  </w:style>
  <w:style w:type="paragraph" w:customStyle="1" w:styleId="51">
    <w:name w:val="正文lcc2"/>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7.png"/><Relationship Id="rId17" Type="http://schemas.openxmlformats.org/officeDocument/2006/relationships/image" Target="media/image6.wmf"/><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Pages>
  <Words>293</Words>
  <Characters>1674</Characters>
  <Lines>13</Lines>
  <Paragraphs>3</Paragraphs>
  <TotalTime>2</TotalTime>
  <ScaleCrop>false</ScaleCrop>
  <LinksUpToDate>false</LinksUpToDate>
  <CharactersWithSpaces>1964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七</cp:lastModifiedBy>
  <cp:lastPrinted>2021-07-22T02:23:19Z</cp:lastPrinted>
  <dcterms:modified xsi:type="dcterms:W3CDTF">2021-07-22T02:25:27Z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5E5C05A24D0A4EB0B724B72A691FE62F</vt:lpwstr>
  </property>
</Properties>
</file>